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26" w:rsidRDefault="00E81826">
      <w:pPr>
        <w:ind w:left="397"/>
        <w:rPr>
          <w:rFonts w:ascii="Arial" w:hAnsi="Arial" w:cs="Arial"/>
          <w:sz w:val="24"/>
        </w:rPr>
        <w:sectPr w:rsidR="00E81826">
          <w:headerReference w:type="default" r:id="rId7"/>
          <w:footerReference w:type="default" r:id="rId8"/>
          <w:headerReference w:type="first" r:id="rId9"/>
          <w:pgSz w:w="11907" w:h="16840" w:code="9"/>
          <w:pgMar w:top="1678" w:right="1134" w:bottom="907" w:left="1701" w:header="567" w:footer="958" w:gutter="0"/>
          <w:pgNumType w:start="1"/>
          <w:cols w:space="720"/>
          <w:titlePg/>
        </w:sectPr>
      </w:pPr>
    </w:p>
    <w:p w:rsidR="00E81826" w:rsidRDefault="00E81826">
      <w:pPr>
        <w:pStyle w:val="Intestazione"/>
        <w:tabs>
          <w:tab w:val="clear" w:pos="4819"/>
          <w:tab w:val="clear" w:pos="9638"/>
        </w:tabs>
        <w:spacing w:after="240"/>
        <w:ind w:left="284"/>
        <w:jc w:val="center"/>
        <w:rPr>
          <w:rFonts w:ascii="Arial" w:hAnsi="Arial" w:cs="Arial"/>
          <w:b/>
          <w:bCs/>
          <w:sz w:val="24"/>
        </w:rPr>
      </w:pPr>
      <w:bookmarkStart w:id="3" w:name="_GoBack"/>
      <w:bookmarkEnd w:id="3"/>
      <w:r>
        <w:rPr>
          <w:rFonts w:ascii="Arial" w:hAnsi="Arial" w:cs="Arial"/>
          <w:b/>
          <w:bCs/>
          <w:sz w:val="24"/>
        </w:rPr>
        <w:t>Il Segretario Generale,</w:t>
      </w:r>
    </w:p>
    <w:p w:rsidR="00E81826" w:rsidRDefault="00E81826">
      <w:pPr>
        <w:spacing w:after="120"/>
        <w:ind w:left="284"/>
        <w:jc w:val="both"/>
        <w:rPr>
          <w:rFonts w:ascii="Arial" w:hAnsi="Arial" w:cs="Arial"/>
          <w:snapToGrid w:val="0"/>
          <w:sz w:val="23"/>
        </w:rPr>
      </w:pPr>
      <w:r>
        <w:rPr>
          <w:rFonts w:ascii="Arial" w:hAnsi="Arial" w:cs="Arial"/>
          <w:snapToGrid w:val="0"/>
          <w:sz w:val="23"/>
        </w:rPr>
        <w:t>visto il D.Lgs. 30.03.2001 n. 165;</w:t>
      </w:r>
    </w:p>
    <w:p w:rsidR="00E81826" w:rsidRDefault="00E81826">
      <w:pPr>
        <w:spacing w:after="120"/>
        <w:ind w:left="284"/>
        <w:jc w:val="both"/>
        <w:rPr>
          <w:rFonts w:ascii="Arial" w:hAnsi="Arial" w:cs="Arial"/>
          <w:snapToGrid w:val="0"/>
          <w:sz w:val="23"/>
        </w:rPr>
      </w:pPr>
      <w:r>
        <w:rPr>
          <w:rFonts w:ascii="Arial" w:hAnsi="Arial" w:cs="Arial"/>
          <w:snapToGrid w:val="0"/>
          <w:sz w:val="23"/>
        </w:rPr>
        <w:t>vista la L. 580/93 come modificata dal D.Lgs. n. 23 dd. 15.02.2010 di riforma dell’ordinamento delle Camere di Commercio e dal D.Lgs. n. 219 dd. 25.11.2016 di r</w:t>
      </w:r>
      <w:r>
        <w:rPr>
          <w:rFonts w:ascii="Arial" w:hAnsi="Arial" w:cs="Arial"/>
          <w:snapToGrid w:val="0"/>
          <w:sz w:val="23"/>
          <w:szCs w:val="19"/>
        </w:rPr>
        <w:t>iordinamento degli enti camerali</w:t>
      </w:r>
      <w:r>
        <w:rPr>
          <w:rFonts w:ascii="Arial" w:hAnsi="Arial" w:cs="Arial"/>
          <w:snapToGrid w:val="0"/>
          <w:sz w:val="23"/>
        </w:rPr>
        <w:t>;</w:t>
      </w:r>
    </w:p>
    <w:p w:rsidR="00E81826" w:rsidRDefault="00E81826">
      <w:pPr>
        <w:spacing w:after="120"/>
        <w:ind w:left="284"/>
        <w:jc w:val="both"/>
        <w:rPr>
          <w:rFonts w:ascii="Arial" w:hAnsi="Arial"/>
          <w:snapToGrid w:val="0"/>
          <w:sz w:val="23"/>
          <w:szCs w:val="23"/>
        </w:rPr>
      </w:pPr>
      <w:r>
        <w:rPr>
          <w:rFonts w:ascii="Arial" w:hAnsi="Arial"/>
          <w:snapToGrid w:val="0"/>
          <w:sz w:val="23"/>
        </w:rPr>
        <w:t>tenuto conto che l’art. 3, co. 4, del decreto del Ministro dello Sviluppo Economico del 6 agosto 2015 di istituzione della Camera di Commercio Venezia Giulia, dispone che i</w:t>
      </w:r>
      <w:r>
        <w:rPr>
          <w:rFonts w:ascii="Arial" w:hAnsi="Arial"/>
          <w:snapToGrid w:val="0"/>
          <w:sz w:val="23"/>
          <w:szCs w:val="23"/>
        </w:rPr>
        <w:t xml:space="preserve"> regolamenti e gli atti amministrativi a contenuto generale delle preesistenti Camere di commercio, restano in vigore, in quanto compatibili, sino a quando non sono adottati i corrispondenti nuovi regolamenti del nuovo ente camerale; </w:t>
      </w:r>
    </w:p>
    <w:p w:rsidR="00E81826" w:rsidRDefault="00E81826">
      <w:pPr>
        <w:spacing w:after="120"/>
        <w:ind w:left="284"/>
        <w:jc w:val="both"/>
        <w:rPr>
          <w:rFonts w:ascii="Arial" w:hAnsi="Arial" w:cs="Arial"/>
          <w:snapToGrid w:val="0"/>
          <w:sz w:val="23"/>
        </w:rPr>
      </w:pPr>
      <w:r>
        <w:rPr>
          <w:rFonts w:ascii="Arial" w:hAnsi="Arial" w:cs="Arial"/>
          <w:snapToGrid w:val="0"/>
          <w:sz w:val="23"/>
        </w:rPr>
        <w:t>visti gli artt. 35 e 36 del vigente Statuto camerale che hanno recepito le competenze dirigenziali previste dalle disposizioni di cui al D.Lgs. n. 165 citato;</w:t>
      </w:r>
    </w:p>
    <w:p w:rsidR="00E81826" w:rsidRDefault="00E81826">
      <w:pPr>
        <w:spacing w:after="120"/>
        <w:ind w:left="284"/>
        <w:jc w:val="both"/>
        <w:rPr>
          <w:rFonts w:ascii="Arial" w:hAnsi="Arial" w:cs="Arial"/>
          <w:snapToGrid w:val="0"/>
          <w:sz w:val="23"/>
        </w:rPr>
      </w:pPr>
      <w:r>
        <w:rPr>
          <w:rFonts w:ascii="Arial" w:hAnsi="Arial" w:cs="Arial"/>
          <w:snapToGrid w:val="0"/>
          <w:sz w:val="23"/>
        </w:rPr>
        <w:t>visti, altresì, i vigenti Regolamenti sull’organizzazione degli uffici delle accorpate Camere di commercio di Trieste (art. 15) e di Gorizia (art. 14), che disciplinano in modo puntuale i compiti del Segretario Generale;</w:t>
      </w:r>
    </w:p>
    <w:p w:rsidR="00E81826" w:rsidRDefault="00E81826">
      <w:pPr>
        <w:spacing w:after="120"/>
        <w:ind w:left="284"/>
        <w:jc w:val="both"/>
        <w:rPr>
          <w:rFonts w:ascii="Arial" w:hAnsi="Arial"/>
          <w:snapToGrid w:val="0"/>
          <w:sz w:val="23"/>
          <w:szCs w:val="23"/>
        </w:rPr>
      </w:pPr>
      <w:r>
        <w:rPr>
          <w:rFonts w:ascii="Arial" w:hAnsi="Arial"/>
          <w:snapToGrid w:val="0"/>
          <w:sz w:val="23"/>
        </w:rPr>
        <w:t>visto il decreto del Ministro dello Sviluppo Economico del 26 luglio 2019 (</w:t>
      </w:r>
      <w:r>
        <w:rPr>
          <w:rFonts w:ascii="Arial" w:hAnsi="Arial"/>
          <w:snapToGrid w:val="0"/>
          <w:sz w:val="23"/>
          <w:szCs w:val="23"/>
        </w:rPr>
        <w:t xml:space="preserve">prot. n. 197606 del 29.07.2019) con il quale l’incarico di Segretario Generale della Camera di Commercio Venezia Giulia è conferito al dott. Pierluigi Medeot, per la durata di quattro anni a decorrere dal quinto giorno dalla data di notifica all’interessato </w:t>
      </w:r>
      <w:r>
        <w:rPr>
          <w:rFonts w:ascii="Arial" w:hAnsi="Arial" w:cs="Arial"/>
          <w:snapToGrid w:val="0"/>
          <w:sz w:val="23"/>
        </w:rPr>
        <w:t>(notifica effettuata il 05.08.2019 con prot. U 17571/19)</w:t>
      </w:r>
      <w:r>
        <w:rPr>
          <w:rFonts w:ascii="Arial" w:hAnsi="Arial"/>
          <w:snapToGrid w:val="0"/>
          <w:sz w:val="23"/>
          <w:szCs w:val="23"/>
        </w:rPr>
        <w:t>;</w:t>
      </w:r>
    </w:p>
    <w:p w:rsidR="00E81826" w:rsidRDefault="00E81826">
      <w:pPr>
        <w:spacing w:after="120"/>
        <w:ind w:left="284"/>
        <w:jc w:val="both"/>
        <w:rPr>
          <w:rFonts w:ascii="Arial" w:hAnsi="Arial" w:cs="Arial"/>
          <w:snapToGrid w:val="0"/>
          <w:sz w:val="23"/>
        </w:rPr>
      </w:pPr>
      <w:r>
        <w:rPr>
          <w:rFonts w:ascii="Arial" w:hAnsi="Arial"/>
          <w:snapToGrid w:val="0"/>
          <w:sz w:val="23"/>
          <w:szCs w:val="23"/>
        </w:rPr>
        <w:t xml:space="preserve">richiamata la </w:t>
      </w:r>
      <w:r>
        <w:rPr>
          <w:rFonts w:ascii="Arial" w:hAnsi="Arial" w:cs="Arial"/>
          <w:snapToGrid w:val="0"/>
          <w:sz w:val="23"/>
        </w:rPr>
        <w:t>determina presidenziale urgente n. 6 dd. 05.08.2019, ratificata con del. n. 92 dd. 05.09.2019, con la quale si prende atto che tale incarico è conferito a decorrere dal 10.08.2019</w:t>
      </w:r>
      <w:r>
        <w:rPr>
          <w:rFonts w:ascii="Arial" w:hAnsi="Arial"/>
          <w:snapToGrid w:val="0"/>
          <w:sz w:val="23"/>
          <w:szCs w:val="23"/>
        </w:rPr>
        <w:t>;</w:t>
      </w:r>
      <w:r>
        <w:rPr>
          <w:rFonts w:ascii="Arial" w:hAnsi="Arial" w:cs="Arial"/>
          <w:snapToGrid w:val="0"/>
          <w:sz w:val="23"/>
        </w:rPr>
        <w:t xml:space="preserve"> </w:t>
      </w:r>
    </w:p>
    <w:p w:rsidR="00E81826" w:rsidRDefault="00E81826">
      <w:pPr>
        <w:spacing w:after="120"/>
        <w:ind w:left="284"/>
        <w:jc w:val="both"/>
        <w:rPr>
          <w:rFonts w:ascii="Arial" w:hAnsi="Arial" w:cs="Arial"/>
          <w:snapToGrid w:val="0"/>
          <w:sz w:val="23"/>
        </w:rPr>
      </w:pPr>
      <w:r>
        <w:rPr>
          <w:rFonts w:ascii="Arial" w:hAnsi="Arial" w:cs="Arial"/>
          <w:snapToGrid w:val="0"/>
          <w:sz w:val="23"/>
        </w:rPr>
        <w:t xml:space="preserve">richiamata la delibera n. 152 dd. 17.12.2018 con la quale la Giunta camerale ha approvato la proposta di preventivo economico 2019 con allegato, tra gli altri documenti, il budget direzionale 2019; </w:t>
      </w:r>
    </w:p>
    <w:p w:rsidR="00E81826" w:rsidRDefault="00E81826">
      <w:pPr>
        <w:spacing w:after="120"/>
        <w:ind w:left="284"/>
        <w:jc w:val="both"/>
        <w:rPr>
          <w:rFonts w:ascii="Arial" w:hAnsi="Arial" w:cs="Arial"/>
          <w:snapToGrid w:val="0"/>
          <w:sz w:val="23"/>
        </w:rPr>
      </w:pPr>
      <w:r>
        <w:rPr>
          <w:rFonts w:ascii="Arial" w:hAnsi="Arial" w:cs="Arial"/>
          <w:snapToGrid w:val="0"/>
          <w:sz w:val="23"/>
        </w:rPr>
        <w:t xml:space="preserve">vista la determinazione presidenziale urgente n. 1 dd. 02.01.2019, ratificata con del. n. 4 dd. 28.01.2019, con la quale la gestione del budget direzionale 2019 è stata assegnata – a far data dal 1° gennaio 2019 - al Segretario Generale; </w:t>
      </w:r>
    </w:p>
    <w:p w:rsidR="00E81826" w:rsidRDefault="00E81826">
      <w:pPr>
        <w:spacing w:after="80"/>
        <w:ind w:left="284"/>
        <w:jc w:val="both"/>
        <w:rPr>
          <w:rFonts w:ascii="Arial" w:hAnsi="Arial" w:cs="Arial"/>
          <w:snapToGrid w:val="0"/>
          <w:sz w:val="23"/>
        </w:rPr>
      </w:pPr>
      <w:r>
        <w:rPr>
          <w:rFonts w:ascii="Arial" w:hAnsi="Arial" w:cs="Arial"/>
          <w:snapToGrid w:val="0"/>
          <w:sz w:val="23"/>
        </w:rPr>
        <w:t xml:space="preserve">tenuto conto che: </w:t>
      </w:r>
    </w:p>
    <w:p w:rsidR="00E81826" w:rsidRDefault="00E81826">
      <w:pPr>
        <w:numPr>
          <w:ilvl w:val="0"/>
          <w:numId w:val="9"/>
        </w:numPr>
        <w:autoSpaceDE w:val="0"/>
        <w:autoSpaceDN w:val="0"/>
        <w:adjustRightInd w:val="0"/>
        <w:spacing w:before="40"/>
        <w:ind w:left="567" w:hanging="283"/>
        <w:jc w:val="both"/>
        <w:rPr>
          <w:rFonts w:ascii="Arial" w:hAnsi="Arial" w:cs="Arial"/>
          <w:bCs/>
          <w:sz w:val="23"/>
          <w:szCs w:val="24"/>
        </w:rPr>
      </w:pPr>
      <w:r>
        <w:rPr>
          <w:rFonts w:ascii="Arial" w:hAnsi="Arial" w:cs="Arial"/>
          <w:sz w:val="23"/>
          <w:szCs w:val="24"/>
        </w:rPr>
        <w:t>l’appalto dei lavori in oggetto, in esito alla procedura aperta indetta ai sensi dell’art. 53, lettera 2 c) del D.Lgs. 163/2006, è stato aggiudicato in via definitiva con determinazione dirigenziale n. 273/Dir/CV dd. 12.12.2013, al Consorzio Cooperative Costruzioni CCC Società Cooperativa in ATI con Tecno Group SRL, per l’importo di Euro 4.202.835,54, di cui Euro 86.700,00 per gli oneri della sicurezza, al netto dell’IVA;</w:t>
      </w:r>
    </w:p>
    <w:p w:rsidR="00E81826" w:rsidRDefault="00E81826">
      <w:pPr>
        <w:numPr>
          <w:ilvl w:val="0"/>
          <w:numId w:val="9"/>
        </w:numPr>
        <w:autoSpaceDE w:val="0"/>
        <w:autoSpaceDN w:val="0"/>
        <w:adjustRightInd w:val="0"/>
        <w:spacing w:before="40"/>
        <w:ind w:left="426" w:hanging="426"/>
        <w:jc w:val="both"/>
        <w:rPr>
          <w:rFonts w:ascii="Arial" w:hAnsi="Arial" w:cs="Arial"/>
          <w:bCs/>
          <w:sz w:val="23"/>
          <w:szCs w:val="24"/>
        </w:rPr>
      </w:pPr>
      <w:r>
        <w:rPr>
          <w:rFonts w:ascii="Arial" w:hAnsi="Arial" w:cs="Arial"/>
          <w:sz w:val="23"/>
          <w:szCs w:val="24"/>
        </w:rPr>
        <w:t xml:space="preserve">con deliberazione giuntale dell’ex CCIAA di Trieste n. 39 dd. 16.04.2015, la Giunta ha espresso parere favorevole all’ipotesi di addivenire ad un accordo transattivo che coniughi l’interesse dell’ex CCIAA di Trieste nel dare avvio ai lavori ritenuti urgenti ed indifferibili garantendo la sicurezza dell’immobile, alla luce del mutato contesto </w:t>
      </w:r>
      <w:r>
        <w:rPr>
          <w:rFonts w:ascii="Arial" w:hAnsi="Arial" w:cs="Arial"/>
          <w:sz w:val="23"/>
          <w:szCs w:val="24"/>
        </w:rPr>
        <w:lastRenderedPageBreak/>
        <w:t>normativo e delle ridotte risorse a disposizione; con tale provvedimento, di fatto, si è proposta la rimodulazione del computo metrico dei lavori e quantificato gli stessi – in accordo con l’impresa aggiudicataria – nell’importo di Euro 1.603.264,70 (comprensivi degli oneri di sicurezza). Rappresentando il 39,92% dell’originario affidamento;</w:t>
      </w:r>
    </w:p>
    <w:p w:rsidR="00E81826" w:rsidRDefault="00E81826">
      <w:pPr>
        <w:numPr>
          <w:ilvl w:val="0"/>
          <w:numId w:val="9"/>
        </w:numPr>
        <w:autoSpaceDE w:val="0"/>
        <w:autoSpaceDN w:val="0"/>
        <w:adjustRightInd w:val="0"/>
        <w:spacing w:before="40"/>
        <w:ind w:left="426" w:hanging="426"/>
        <w:jc w:val="both"/>
        <w:rPr>
          <w:rFonts w:ascii="Arial" w:hAnsi="Arial" w:cs="Arial"/>
          <w:bCs/>
          <w:sz w:val="23"/>
          <w:szCs w:val="24"/>
        </w:rPr>
      </w:pPr>
      <w:r>
        <w:rPr>
          <w:rFonts w:ascii="Arial" w:hAnsi="Arial" w:cs="Arial"/>
          <w:bCs/>
          <w:sz w:val="23"/>
          <w:szCs w:val="24"/>
        </w:rPr>
        <w:t xml:space="preserve">con nota </w:t>
      </w:r>
      <w:r>
        <w:rPr>
          <w:rFonts w:ascii="Arial" w:hAnsi="Arial" w:cs="Arial"/>
          <w:sz w:val="23"/>
          <w:szCs w:val="24"/>
        </w:rPr>
        <w:t>prot.n. 1000123/323 dd. 04.04.2016, acquisita agli atti dell’ex CCIAA di Trieste con prot. 4986/E in data 08.04.2016, il Consorzio Integra Soc. Coop., sede legale in Via M.E. Lepido n. 182/2 a Bologna, ha comunicato ai sensi dell’art. 116 del D.Lgs. 12 aprile 2006 n. 163, l’affitto del ramo d’azienda tra il Consorzio Cooperative Costruzioni CCC Società Cooperativa ed il Consorzio Integra Soc. Coop;</w:t>
      </w:r>
    </w:p>
    <w:p w:rsidR="00E81826" w:rsidRDefault="00E81826">
      <w:pPr>
        <w:numPr>
          <w:ilvl w:val="0"/>
          <w:numId w:val="9"/>
        </w:numPr>
        <w:autoSpaceDE w:val="0"/>
        <w:autoSpaceDN w:val="0"/>
        <w:adjustRightInd w:val="0"/>
        <w:spacing w:before="40"/>
        <w:ind w:left="426" w:hanging="426"/>
        <w:jc w:val="both"/>
        <w:rPr>
          <w:rFonts w:ascii="Arial" w:hAnsi="Arial" w:cs="Arial"/>
          <w:bCs/>
          <w:sz w:val="23"/>
          <w:szCs w:val="24"/>
        </w:rPr>
      </w:pPr>
      <w:r>
        <w:rPr>
          <w:rFonts w:ascii="Arial" w:hAnsi="Arial" w:cs="Arial"/>
          <w:bCs/>
          <w:sz w:val="23"/>
          <w:szCs w:val="24"/>
        </w:rPr>
        <w:t>il progetto definitivo, la contestuale firma del contratto d’appalto rimodulato e l’addendum contrattuale sono stati approvati con delibera giuntale dell’ex CCIAA di Trieste n. 50 dd. 19.05.2016;</w:t>
      </w:r>
    </w:p>
    <w:p w:rsidR="00E81826" w:rsidRDefault="00E81826">
      <w:pPr>
        <w:numPr>
          <w:ilvl w:val="0"/>
          <w:numId w:val="9"/>
        </w:numPr>
        <w:autoSpaceDE w:val="0"/>
        <w:autoSpaceDN w:val="0"/>
        <w:adjustRightInd w:val="0"/>
        <w:ind w:left="426" w:hanging="426"/>
        <w:jc w:val="both"/>
        <w:rPr>
          <w:rFonts w:ascii="Arial" w:hAnsi="Arial" w:cs="Arial"/>
          <w:bCs/>
          <w:sz w:val="23"/>
          <w:szCs w:val="24"/>
        </w:rPr>
      </w:pPr>
      <w:r>
        <w:rPr>
          <w:rFonts w:ascii="Arial" w:hAnsi="Arial" w:cs="Arial"/>
          <w:bCs/>
          <w:color w:val="000000"/>
          <w:sz w:val="23"/>
          <w:szCs w:val="24"/>
        </w:rPr>
        <w:t>il contratto d’appalto integrato, recante n. 251 Reg.Contr., per l'esecuzione dei lavori in argomento, previa elaborazione della progettazione esecutiva, comprensiva del coordinamento della sicurezza in fase di progettazione</w:t>
      </w:r>
      <w:r>
        <w:rPr>
          <w:rFonts w:ascii="Arial" w:hAnsi="Arial" w:cs="Arial"/>
          <w:bCs/>
          <w:sz w:val="23"/>
          <w:szCs w:val="24"/>
        </w:rPr>
        <w:t>, è stato sottoscritto in data 14.07.2016;</w:t>
      </w:r>
    </w:p>
    <w:p w:rsidR="00E81826" w:rsidRDefault="00E81826">
      <w:pPr>
        <w:numPr>
          <w:ilvl w:val="0"/>
          <w:numId w:val="9"/>
        </w:numPr>
        <w:spacing w:after="80"/>
        <w:ind w:left="426" w:hanging="426"/>
        <w:jc w:val="both"/>
        <w:rPr>
          <w:rFonts w:ascii="Arial" w:eastAsia="Calibri" w:hAnsi="Arial" w:cs="Arial"/>
          <w:bCs/>
          <w:sz w:val="23"/>
          <w:szCs w:val="24"/>
          <w:lang w:eastAsia="en-US"/>
        </w:rPr>
      </w:pPr>
      <w:r>
        <w:rPr>
          <w:rFonts w:ascii="Arial" w:eastAsia="Calibri" w:hAnsi="Arial" w:cs="Arial"/>
          <w:bCs/>
          <w:sz w:val="23"/>
          <w:szCs w:val="24"/>
          <w:lang w:eastAsia="en-US"/>
        </w:rPr>
        <w:t>la presa d’atto del progetto esecutivo rimodulato a seguito delle modifiche di alcune tipologie di lavoro e la conferma della ripartizione del quadro economico del progetto esecutivo, è avvenuta con deliberazione giuntale della CCIAA Venezia Giulia n. 654 del 15.05.2017, come di seguito formulato:</w:t>
      </w:r>
    </w:p>
    <w:p w:rsidR="00E81826" w:rsidRDefault="00E81826">
      <w:pPr>
        <w:ind w:left="425"/>
        <w:jc w:val="both"/>
        <w:rPr>
          <w:rFonts w:ascii="Arial" w:eastAsia="Calibri" w:hAnsi="Arial" w:cs="Arial"/>
          <w:bCs/>
          <w:sz w:val="23"/>
          <w:szCs w:val="16"/>
          <w:lang w:eastAsia="en-US"/>
        </w:rPr>
      </w:pPr>
    </w:p>
    <w:p w:rsidR="00E81826" w:rsidRDefault="00E81826">
      <w:pPr>
        <w:jc w:val="center"/>
        <w:rPr>
          <w:rFonts w:ascii="Arial" w:eastAsia="Calibri" w:hAnsi="Arial" w:cs="Arial"/>
          <w:bCs/>
          <w:sz w:val="23"/>
          <w:szCs w:val="22"/>
          <w:lang w:eastAsia="en-US"/>
        </w:rPr>
      </w:pPr>
      <w:r>
        <w:rPr>
          <w:rFonts w:ascii="Arial" w:eastAsia="Calibri" w:hAnsi="Arial" w:cs="Arial"/>
          <w:b/>
          <w:bCs/>
          <w:sz w:val="23"/>
          <w:szCs w:val="24"/>
          <w:lang w:eastAsia="en-US"/>
        </w:rPr>
        <w:t>Quadro Economico Progettazione esecutiva</w:t>
      </w:r>
    </w:p>
    <w:p w:rsidR="00E81826" w:rsidRDefault="00E81826">
      <w:pPr>
        <w:jc w:val="both"/>
        <w:rPr>
          <w:rFonts w:ascii="Arial" w:eastAsia="Calibri" w:hAnsi="Arial" w:cs="Arial"/>
          <w:bCs/>
          <w:sz w:val="16"/>
          <w:szCs w:val="16"/>
          <w:lang w:eastAsia="en-US"/>
        </w:rPr>
      </w:pPr>
    </w:p>
    <w:tbl>
      <w:tblPr>
        <w:tblW w:w="0" w:type="auto"/>
        <w:tblLook w:val="04A0" w:firstRow="1" w:lastRow="0" w:firstColumn="1" w:lastColumn="0" w:noHBand="0" w:noVBand="1"/>
      </w:tblPr>
      <w:tblGrid>
        <w:gridCol w:w="5665"/>
        <w:gridCol w:w="1701"/>
        <w:gridCol w:w="1696"/>
      </w:tblGrid>
      <w:tr w:rsidR="00E81826">
        <w:tc>
          <w:tcPr>
            <w:tcW w:w="5665"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
                <w:bCs/>
                <w:sz w:val="22"/>
                <w:szCs w:val="22"/>
                <w:lang w:eastAsia="en-US"/>
              </w:rPr>
              <w:t>LAVORI</w:t>
            </w:r>
          </w:p>
        </w:tc>
        <w:tc>
          <w:tcPr>
            <w:tcW w:w="1701" w:type="dxa"/>
            <w:tcBorders>
              <w:top w:val="nil"/>
              <w:left w:val="nil"/>
              <w:bottom w:val="nil"/>
              <w:right w:val="nil"/>
            </w:tcBorders>
          </w:tcPr>
          <w:p w:rsidR="00E81826" w:rsidRDefault="00E81826">
            <w:pPr>
              <w:spacing w:after="120"/>
              <w:jc w:val="both"/>
              <w:rPr>
                <w:rFonts w:eastAsia="Calibri"/>
                <w:b/>
                <w:bCs/>
                <w:sz w:val="22"/>
                <w:szCs w:val="22"/>
                <w:lang w:eastAsia="en-US"/>
              </w:rPr>
            </w:pP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p>
        </w:tc>
      </w:tr>
      <w:tr w:rsidR="00E81826">
        <w:tc>
          <w:tcPr>
            <w:tcW w:w="5665" w:type="dxa"/>
            <w:tcBorders>
              <w:top w:val="nil"/>
              <w:left w:val="nil"/>
              <w:bottom w:val="nil"/>
              <w:right w:val="nil"/>
            </w:tcBorders>
          </w:tcPr>
          <w:p w:rsidR="00E81826" w:rsidRDefault="00E81826">
            <w:pPr>
              <w:spacing w:after="120"/>
              <w:rPr>
                <w:rFonts w:eastAsia="Calibri"/>
                <w:b/>
                <w:bCs/>
                <w:sz w:val="22"/>
                <w:szCs w:val="22"/>
                <w:lang w:eastAsia="en-US"/>
              </w:rPr>
            </w:pPr>
            <w:r>
              <w:rPr>
                <w:rFonts w:eastAsia="Calibri"/>
                <w:bCs/>
                <w:sz w:val="22"/>
                <w:szCs w:val="22"/>
                <w:lang w:eastAsia="en-US"/>
              </w:rPr>
              <w:t>Opere edili</w:t>
            </w:r>
          </w:p>
        </w:tc>
        <w:tc>
          <w:tcPr>
            <w:tcW w:w="1701"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€ 1.522.763,70</w:t>
            </w: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p>
        </w:tc>
      </w:tr>
      <w:tr w:rsidR="00E81826">
        <w:tc>
          <w:tcPr>
            <w:tcW w:w="5665"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Opere per la sicurezza</w:t>
            </w:r>
          </w:p>
        </w:tc>
        <w:tc>
          <w:tcPr>
            <w:tcW w:w="1701"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     80.501,00</w:t>
            </w: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p>
        </w:tc>
      </w:tr>
      <w:tr w:rsidR="00E81826">
        <w:tc>
          <w:tcPr>
            <w:tcW w:w="5665"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 xml:space="preserve">SOMMANO  </w:t>
            </w:r>
          </w:p>
        </w:tc>
        <w:tc>
          <w:tcPr>
            <w:tcW w:w="1701" w:type="dxa"/>
            <w:tcBorders>
              <w:top w:val="nil"/>
              <w:left w:val="nil"/>
              <w:bottom w:val="nil"/>
              <w:right w:val="nil"/>
            </w:tcBorders>
          </w:tcPr>
          <w:p w:rsidR="00E81826" w:rsidRDefault="00E81826">
            <w:pPr>
              <w:spacing w:after="120"/>
              <w:jc w:val="both"/>
              <w:rPr>
                <w:rFonts w:eastAsia="Calibri"/>
                <w:b/>
                <w:bCs/>
                <w:sz w:val="22"/>
                <w:szCs w:val="22"/>
                <w:lang w:eastAsia="en-US"/>
              </w:rPr>
            </w:pP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€ 1.603.264,70</w:t>
            </w:r>
          </w:p>
        </w:tc>
      </w:tr>
      <w:tr w:rsidR="00E81826">
        <w:tc>
          <w:tcPr>
            <w:tcW w:w="5665" w:type="dxa"/>
            <w:tcBorders>
              <w:top w:val="nil"/>
              <w:left w:val="nil"/>
              <w:bottom w:val="nil"/>
              <w:right w:val="nil"/>
            </w:tcBorders>
          </w:tcPr>
          <w:p w:rsidR="00E81826" w:rsidRDefault="00E81826">
            <w:pPr>
              <w:spacing w:after="120"/>
              <w:jc w:val="both"/>
              <w:rPr>
                <w:rFonts w:eastAsia="Calibri"/>
                <w:b/>
                <w:bCs/>
                <w:sz w:val="22"/>
                <w:szCs w:val="22"/>
                <w:lang w:eastAsia="en-US"/>
              </w:rPr>
            </w:pPr>
          </w:p>
        </w:tc>
        <w:tc>
          <w:tcPr>
            <w:tcW w:w="1701" w:type="dxa"/>
            <w:tcBorders>
              <w:top w:val="nil"/>
              <w:left w:val="nil"/>
              <w:bottom w:val="nil"/>
              <w:right w:val="nil"/>
            </w:tcBorders>
          </w:tcPr>
          <w:p w:rsidR="00E81826" w:rsidRDefault="00E81826">
            <w:pPr>
              <w:spacing w:after="120"/>
              <w:jc w:val="both"/>
              <w:rPr>
                <w:rFonts w:eastAsia="Calibri"/>
                <w:b/>
                <w:bCs/>
                <w:sz w:val="22"/>
                <w:szCs w:val="22"/>
                <w:lang w:eastAsia="en-US"/>
              </w:rPr>
            </w:pP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p>
        </w:tc>
      </w:tr>
      <w:tr w:rsidR="00E81826">
        <w:tc>
          <w:tcPr>
            <w:tcW w:w="9062" w:type="dxa"/>
            <w:gridSpan w:val="3"/>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
                <w:bCs/>
                <w:sz w:val="22"/>
                <w:szCs w:val="22"/>
                <w:lang w:eastAsia="en-US"/>
              </w:rPr>
              <w:t>SOMME A DISPOSIZIONE DELL’AMMINISTRAZIONE</w:t>
            </w:r>
          </w:p>
        </w:tc>
      </w:tr>
      <w:tr w:rsidR="00E81826">
        <w:tc>
          <w:tcPr>
            <w:tcW w:w="5665"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IVA 10%</w:t>
            </w:r>
          </w:p>
        </w:tc>
        <w:tc>
          <w:tcPr>
            <w:tcW w:w="1701"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    160.326,47</w:t>
            </w: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p>
        </w:tc>
      </w:tr>
      <w:tr w:rsidR="00E81826">
        <w:tc>
          <w:tcPr>
            <w:tcW w:w="5665"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Altri Oneri (IVA compresa)</w:t>
            </w:r>
          </w:p>
        </w:tc>
        <w:tc>
          <w:tcPr>
            <w:tcW w:w="1701"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    356.179,23</w:t>
            </w: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p>
        </w:tc>
      </w:tr>
      <w:tr w:rsidR="00E81826">
        <w:tc>
          <w:tcPr>
            <w:tcW w:w="5665"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Oneri per progettazione esecutiva (IVA e oneri compresi)</w:t>
            </w:r>
          </w:p>
        </w:tc>
        <w:tc>
          <w:tcPr>
            <w:tcW w:w="1701"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      53.836,77</w:t>
            </w: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p>
        </w:tc>
      </w:tr>
      <w:tr w:rsidR="00E81826">
        <w:tc>
          <w:tcPr>
            <w:tcW w:w="5665"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Accantonamento per accordi bonari</w:t>
            </w:r>
          </w:p>
        </w:tc>
        <w:tc>
          <w:tcPr>
            <w:tcW w:w="1701"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      48.097,94</w:t>
            </w: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p>
        </w:tc>
      </w:tr>
      <w:tr w:rsidR="00E81826">
        <w:tc>
          <w:tcPr>
            <w:tcW w:w="5665"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Altre spese tecniche (IVA e oneri compresi)</w:t>
            </w:r>
          </w:p>
        </w:tc>
        <w:tc>
          <w:tcPr>
            <w:tcW w:w="1701"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      80.000,00</w:t>
            </w: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p>
        </w:tc>
      </w:tr>
      <w:tr w:rsidR="00E81826">
        <w:tc>
          <w:tcPr>
            <w:tcW w:w="5665"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Imprevisti (IVA compresa)</w:t>
            </w:r>
          </w:p>
        </w:tc>
        <w:tc>
          <w:tcPr>
            <w:tcW w:w="1701"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      48.294,89</w:t>
            </w: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p>
        </w:tc>
      </w:tr>
      <w:tr w:rsidR="00E81826">
        <w:tc>
          <w:tcPr>
            <w:tcW w:w="5665"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
                <w:bCs/>
                <w:sz w:val="22"/>
                <w:szCs w:val="22"/>
                <w:lang w:eastAsia="en-US"/>
              </w:rPr>
              <w:t>SOMMANO SOMME A DISPOSIZIONE</w:t>
            </w:r>
          </w:p>
        </w:tc>
        <w:tc>
          <w:tcPr>
            <w:tcW w:w="1701" w:type="dxa"/>
            <w:tcBorders>
              <w:top w:val="nil"/>
              <w:left w:val="nil"/>
              <w:bottom w:val="nil"/>
              <w:right w:val="nil"/>
            </w:tcBorders>
          </w:tcPr>
          <w:p w:rsidR="00E81826" w:rsidRDefault="00E81826">
            <w:pPr>
              <w:spacing w:after="120"/>
              <w:jc w:val="both"/>
              <w:rPr>
                <w:rFonts w:eastAsia="Calibri"/>
                <w:b/>
                <w:bCs/>
                <w:sz w:val="22"/>
                <w:szCs w:val="22"/>
                <w:lang w:eastAsia="en-US"/>
              </w:rPr>
            </w:pP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Cs/>
                <w:sz w:val="22"/>
                <w:szCs w:val="22"/>
                <w:lang w:eastAsia="en-US"/>
              </w:rPr>
              <w:t>€   746.735,30</w:t>
            </w:r>
          </w:p>
        </w:tc>
      </w:tr>
      <w:tr w:rsidR="00E81826">
        <w:tc>
          <w:tcPr>
            <w:tcW w:w="5665" w:type="dxa"/>
            <w:tcBorders>
              <w:top w:val="nil"/>
              <w:left w:val="nil"/>
              <w:bottom w:val="nil"/>
              <w:right w:val="nil"/>
            </w:tcBorders>
          </w:tcPr>
          <w:p w:rsidR="00E81826" w:rsidRDefault="00E81826">
            <w:pPr>
              <w:spacing w:after="120"/>
              <w:jc w:val="both"/>
              <w:rPr>
                <w:rFonts w:eastAsia="Calibri"/>
                <w:b/>
                <w:bCs/>
                <w:sz w:val="22"/>
                <w:szCs w:val="22"/>
                <w:lang w:eastAsia="en-US"/>
              </w:rPr>
            </w:pPr>
          </w:p>
        </w:tc>
        <w:tc>
          <w:tcPr>
            <w:tcW w:w="1701" w:type="dxa"/>
            <w:tcBorders>
              <w:top w:val="nil"/>
              <w:left w:val="nil"/>
              <w:bottom w:val="nil"/>
              <w:right w:val="nil"/>
            </w:tcBorders>
          </w:tcPr>
          <w:p w:rsidR="00E81826" w:rsidRDefault="00E81826">
            <w:pPr>
              <w:spacing w:after="120"/>
              <w:jc w:val="both"/>
              <w:rPr>
                <w:rFonts w:eastAsia="Calibri"/>
                <w:b/>
                <w:bCs/>
                <w:sz w:val="22"/>
                <w:szCs w:val="22"/>
                <w:lang w:eastAsia="en-US"/>
              </w:rPr>
            </w:pP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p>
        </w:tc>
      </w:tr>
      <w:tr w:rsidR="00E81826">
        <w:tc>
          <w:tcPr>
            <w:tcW w:w="7366" w:type="dxa"/>
            <w:gridSpan w:val="2"/>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
                <w:bCs/>
                <w:sz w:val="22"/>
                <w:szCs w:val="22"/>
                <w:lang w:eastAsia="en-US"/>
              </w:rPr>
              <w:t>TOTALE GENERALE</w:t>
            </w:r>
          </w:p>
        </w:tc>
        <w:tc>
          <w:tcPr>
            <w:tcW w:w="1696" w:type="dxa"/>
            <w:tcBorders>
              <w:top w:val="nil"/>
              <w:left w:val="nil"/>
              <w:bottom w:val="nil"/>
              <w:right w:val="nil"/>
            </w:tcBorders>
          </w:tcPr>
          <w:p w:rsidR="00E81826" w:rsidRDefault="00E81826">
            <w:pPr>
              <w:spacing w:after="120"/>
              <w:jc w:val="both"/>
              <w:rPr>
                <w:rFonts w:eastAsia="Calibri"/>
                <w:b/>
                <w:bCs/>
                <w:sz w:val="22"/>
                <w:szCs w:val="22"/>
                <w:lang w:eastAsia="en-US"/>
              </w:rPr>
            </w:pPr>
            <w:r>
              <w:rPr>
                <w:rFonts w:eastAsia="Calibri"/>
                <w:b/>
                <w:bCs/>
                <w:sz w:val="22"/>
                <w:szCs w:val="22"/>
                <w:lang w:eastAsia="en-US"/>
              </w:rPr>
              <w:t>€ 2.350.000,00</w:t>
            </w:r>
          </w:p>
        </w:tc>
      </w:tr>
    </w:tbl>
    <w:p w:rsidR="00E81826" w:rsidRDefault="00E81826">
      <w:pPr>
        <w:numPr>
          <w:ilvl w:val="0"/>
          <w:numId w:val="10"/>
        </w:numPr>
        <w:spacing w:after="80"/>
        <w:ind w:left="425" w:hanging="425"/>
        <w:jc w:val="both"/>
        <w:rPr>
          <w:rFonts w:ascii="Arial" w:eastAsia="Calibri" w:hAnsi="Arial" w:cs="Arial"/>
          <w:bCs/>
          <w:sz w:val="23"/>
          <w:szCs w:val="24"/>
          <w:lang w:eastAsia="en-US"/>
        </w:rPr>
      </w:pPr>
      <w:r>
        <w:rPr>
          <w:rFonts w:ascii="Arial" w:eastAsia="Calibri" w:hAnsi="Arial" w:cs="Arial"/>
          <w:bCs/>
          <w:sz w:val="23"/>
          <w:szCs w:val="24"/>
          <w:lang w:eastAsia="en-US"/>
        </w:rPr>
        <w:t xml:space="preserve">l’approvazione della progettazione esecutiva, unitamente al quadro economico è stata approvata con determinazione dirigenziale n. 33/Dir del 16.05.2017; </w:t>
      </w:r>
    </w:p>
    <w:p w:rsidR="00E81826" w:rsidRDefault="00E81826">
      <w:pPr>
        <w:numPr>
          <w:ilvl w:val="0"/>
          <w:numId w:val="10"/>
        </w:numPr>
        <w:spacing w:after="80"/>
        <w:ind w:left="425" w:hanging="425"/>
        <w:jc w:val="both"/>
        <w:rPr>
          <w:rFonts w:ascii="Arial" w:eastAsia="Calibri" w:hAnsi="Arial" w:cs="Arial"/>
          <w:bCs/>
          <w:sz w:val="23"/>
          <w:szCs w:val="24"/>
          <w:lang w:eastAsia="en-US"/>
        </w:rPr>
      </w:pPr>
      <w:r>
        <w:rPr>
          <w:rFonts w:ascii="Arial" w:eastAsia="Calibri" w:hAnsi="Arial" w:cs="Arial"/>
          <w:bCs/>
          <w:sz w:val="23"/>
          <w:szCs w:val="22"/>
          <w:lang w:eastAsia="en-US"/>
        </w:rPr>
        <w:t>i</w:t>
      </w:r>
      <w:r>
        <w:rPr>
          <w:rFonts w:ascii="Arial" w:eastAsia="Calibri" w:hAnsi="Arial" w:cs="Arial"/>
          <w:bCs/>
          <w:sz w:val="23"/>
          <w:szCs w:val="24"/>
          <w:lang w:eastAsia="en-US"/>
        </w:rPr>
        <w:t xml:space="preserve"> lavori di cui all’appalto in oggetto sono stati regolarmente consegnati, con verbale dd. 12.01.2018, al Consorzio INTEGRA Soc. Coop. (che ha designato la consorziata ICI Coop. Soc. Coop. all’esecuzione delle predetto intervento);</w:t>
      </w:r>
    </w:p>
    <w:p w:rsidR="00E81826" w:rsidRDefault="00E81826">
      <w:pPr>
        <w:numPr>
          <w:ilvl w:val="0"/>
          <w:numId w:val="10"/>
        </w:numPr>
        <w:spacing w:after="80"/>
        <w:ind w:left="425" w:hanging="425"/>
        <w:jc w:val="both"/>
        <w:rPr>
          <w:rFonts w:ascii="Arial" w:eastAsia="Calibri" w:hAnsi="Arial" w:cs="Arial"/>
          <w:bCs/>
          <w:sz w:val="23"/>
          <w:szCs w:val="24"/>
          <w:lang w:eastAsia="en-US"/>
        </w:rPr>
      </w:pPr>
      <w:r>
        <w:rPr>
          <w:rFonts w:ascii="Arial" w:eastAsia="Calibri" w:hAnsi="Arial" w:cs="Arial"/>
          <w:bCs/>
          <w:sz w:val="23"/>
          <w:szCs w:val="24"/>
          <w:lang w:eastAsia="en-US"/>
        </w:rPr>
        <w:lastRenderedPageBreak/>
        <w:t xml:space="preserve">nel corso dell’esecuzione del contratto d’appalto di cui all’oggetto, una volta approntate le opere di cantierizzazione dello stabile camerale i lavori sono stati avviati; </w:t>
      </w:r>
    </w:p>
    <w:p w:rsidR="00E81826" w:rsidRDefault="00E81826">
      <w:pPr>
        <w:numPr>
          <w:ilvl w:val="0"/>
          <w:numId w:val="10"/>
        </w:numPr>
        <w:spacing w:after="80"/>
        <w:ind w:left="425" w:hanging="425"/>
        <w:jc w:val="both"/>
        <w:rPr>
          <w:rFonts w:ascii="Arial" w:eastAsia="Calibri" w:hAnsi="Arial" w:cs="Arial"/>
          <w:bCs/>
          <w:sz w:val="23"/>
          <w:szCs w:val="24"/>
          <w:lang w:eastAsia="en-US"/>
        </w:rPr>
      </w:pPr>
      <w:r>
        <w:rPr>
          <w:rFonts w:ascii="Arial" w:eastAsia="Calibri" w:hAnsi="Arial" w:cs="Arial"/>
          <w:bCs/>
          <w:sz w:val="23"/>
          <w:szCs w:val="24"/>
          <w:lang w:eastAsia="en-US"/>
        </w:rPr>
        <w:t xml:space="preserve">in data 27 luglio 2018 la D.L. </w:t>
      </w:r>
      <w:r>
        <w:rPr>
          <w:rFonts w:ascii="Arial" w:hAnsi="Arial" w:cs="Arial"/>
          <w:bCs/>
          <w:sz w:val="23"/>
          <w:szCs w:val="24"/>
        </w:rPr>
        <w:t>arch. Lorenzo Gasperini ha emanato l’Ordine di servizio n. 1, riportante i contenuti di cui al Verbale di sopralluogo dd. 16 luglio 2018 a firma dell’arch. Valentina Tomasi che, nel merito cita “si vieta l’accesso alle corti interne a causa di presenza di amianto friabile; si sospendono le lavorazioni in facciata per la stessa motivazione…”. La D.L. conseguentemente ordina al Consorzio Integra Soc. Coop. ed all’impresa ICI Coop. Soc. Coop. arl di osservare scrupolosamente le direttive impartite dal coordinatore per la sicurezza arch. Tomasi. Di fatto, come ribadito dalla stessa D.L. i soli lavori oggetto di sospensione erano quelli circoscritti alle aree in prossimità delle finestre;</w:t>
      </w:r>
    </w:p>
    <w:p w:rsidR="00E81826" w:rsidRDefault="00E81826">
      <w:pPr>
        <w:numPr>
          <w:ilvl w:val="0"/>
          <w:numId w:val="10"/>
        </w:numPr>
        <w:spacing w:after="80"/>
        <w:ind w:left="425" w:hanging="425"/>
        <w:jc w:val="both"/>
        <w:rPr>
          <w:rFonts w:ascii="Arial" w:eastAsia="Calibri" w:hAnsi="Arial" w:cs="Arial"/>
          <w:bCs/>
          <w:sz w:val="23"/>
          <w:szCs w:val="24"/>
          <w:lang w:eastAsia="en-US"/>
        </w:rPr>
      </w:pPr>
      <w:r>
        <w:rPr>
          <w:rFonts w:ascii="Arial" w:hAnsi="Arial" w:cs="Arial"/>
          <w:bCs/>
          <w:sz w:val="23"/>
          <w:szCs w:val="24"/>
        </w:rPr>
        <w:t>con Ordine di servizio n. 2 del 12 novembre 2018, l’arch. Gasperini, a seguito delle avvenute verifiche da parte del S.O. Dipartimento di prevenzione dell’Azienda Sanitaria Universitaria Integrata di Trieste, della ricerca e mappatura a carico della Stazione Appaltante di eventuali manufatti e della conseguente rimozione di alcuni di questi, impartisce all’Impresa l’ordine di consegnare il cronoprogramma dei lavori e di riprendere le opere in epigrafe, con conclusione dell’intervento nel termine di 375 giorni naturali e consecutivi dalla data di consegna, avvenuta il 12.01.2018.</w:t>
      </w:r>
    </w:p>
    <w:p w:rsidR="00E81826" w:rsidRDefault="00E81826">
      <w:pPr>
        <w:numPr>
          <w:ilvl w:val="0"/>
          <w:numId w:val="10"/>
        </w:numPr>
        <w:spacing w:after="80"/>
        <w:ind w:left="425" w:hanging="425"/>
        <w:jc w:val="both"/>
        <w:rPr>
          <w:rFonts w:ascii="Arial" w:eastAsia="Calibri" w:hAnsi="Arial" w:cs="Arial"/>
          <w:bCs/>
          <w:sz w:val="23"/>
          <w:szCs w:val="24"/>
          <w:lang w:eastAsia="en-US"/>
        </w:rPr>
      </w:pPr>
      <w:r>
        <w:rPr>
          <w:rFonts w:ascii="Arial" w:eastAsia="Calibri" w:hAnsi="Arial" w:cs="Arial"/>
          <w:bCs/>
          <w:sz w:val="23"/>
          <w:szCs w:val="24"/>
          <w:lang w:eastAsia="en-US"/>
        </w:rPr>
        <w:t>in data 13 settembre 2019, con provvedimento del Segretario Generale n. 484, dopo opportune verifiche tecnico-contabili eseguite a cura dell’U.O. Provveditorato e Servizi Generali e dell’U.O. Bilancio e Finanza, è stata approvatala prima rimodulazione del quadro economico dei lavori in argomento, secondo il seguente schema</w:t>
      </w:r>
    </w:p>
    <w:p w:rsidR="00E81826" w:rsidRDefault="00E81826">
      <w:pPr>
        <w:ind w:left="1416" w:firstLine="709"/>
        <w:rPr>
          <w:rFonts w:ascii="Arial" w:eastAsia="Calibri" w:hAnsi="Arial" w:cs="Arial"/>
          <w:b/>
          <w:bCs/>
          <w:sz w:val="23"/>
          <w:szCs w:val="24"/>
          <w:lang w:eastAsia="en-US"/>
        </w:rPr>
      </w:pPr>
      <w:r>
        <w:rPr>
          <w:rFonts w:ascii="Arial" w:eastAsia="Calibri" w:hAnsi="Arial" w:cs="Arial"/>
          <w:b/>
          <w:bCs/>
          <w:sz w:val="23"/>
          <w:szCs w:val="24"/>
          <w:lang w:eastAsia="en-US"/>
        </w:rPr>
        <w:t>Quadro Economico Rimodulato n. 1</w:t>
      </w:r>
    </w:p>
    <w:p w:rsidR="00E81826" w:rsidRDefault="00E81826">
      <w:pPr>
        <w:ind w:firstLine="709"/>
        <w:rPr>
          <w:rFonts w:ascii="Arial" w:eastAsia="Calibri" w:hAnsi="Arial" w:cs="Arial"/>
          <w:bCs/>
          <w:sz w:val="16"/>
          <w:szCs w:val="16"/>
          <w:lang w:eastAsia="en-US"/>
        </w:rPr>
      </w:pPr>
    </w:p>
    <w:tbl>
      <w:tblPr>
        <w:tblW w:w="0" w:type="auto"/>
        <w:tblLook w:val="04A0" w:firstRow="1" w:lastRow="0" w:firstColumn="1" w:lastColumn="0" w:noHBand="0" w:noVBand="1"/>
      </w:tblPr>
      <w:tblGrid>
        <w:gridCol w:w="5665"/>
        <w:gridCol w:w="1701"/>
        <w:gridCol w:w="1696"/>
      </w:tblGrid>
      <w:tr w:rsidR="00E81826">
        <w:tc>
          <w:tcPr>
            <w:tcW w:w="5665" w:type="dxa"/>
          </w:tcPr>
          <w:p w:rsidR="00E81826" w:rsidRDefault="00E81826">
            <w:pPr>
              <w:spacing w:after="120"/>
              <w:jc w:val="both"/>
              <w:rPr>
                <w:rFonts w:eastAsia="Calibri"/>
                <w:b/>
                <w:bCs/>
                <w:sz w:val="22"/>
                <w:szCs w:val="22"/>
                <w:lang w:eastAsia="en-US"/>
              </w:rPr>
            </w:pPr>
            <w:r>
              <w:rPr>
                <w:rFonts w:eastAsia="Calibri"/>
                <w:b/>
                <w:bCs/>
                <w:sz w:val="22"/>
                <w:szCs w:val="22"/>
                <w:lang w:eastAsia="en-US"/>
              </w:rPr>
              <w:t>LAVORI</w:t>
            </w:r>
          </w:p>
        </w:tc>
        <w:tc>
          <w:tcPr>
            <w:tcW w:w="1701" w:type="dxa"/>
          </w:tcPr>
          <w:p w:rsidR="00E81826" w:rsidRDefault="00E81826">
            <w:pPr>
              <w:spacing w:after="120"/>
              <w:jc w:val="both"/>
              <w:rPr>
                <w:rFonts w:eastAsia="Calibri"/>
                <w:b/>
                <w:bCs/>
                <w:sz w:val="22"/>
                <w:szCs w:val="22"/>
                <w:lang w:eastAsia="en-US"/>
              </w:rPr>
            </w:pPr>
          </w:p>
        </w:tc>
        <w:tc>
          <w:tcPr>
            <w:tcW w:w="1696" w:type="dxa"/>
          </w:tcPr>
          <w:p w:rsidR="00E81826" w:rsidRDefault="00E81826">
            <w:pPr>
              <w:spacing w:after="120"/>
              <w:jc w:val="both"/>
              <w:rPr>
                <w:rFonts w:eastAsia="Calibri"/>
                <w:b/>
                <w:bCs/>
                <w:sz w:val="22"/>
                <w:szCs w:val="22"/>
                <w:lang w:eastAsia="en-US"/>
              </w:rPr>
            </w:pPr>
          </w:p>
        </w:tc>
      </w:tr>
      <w:tr w:rsidR="00E81826">
        <w:tc>
          <w:tcPr>
            <w:tcW w:w="5665" w:type="dxa"/>
          </w:tcPr>
          <w:p w:rsidR="00E81826" w:rsidRDefault="00E81826">
            <w:pPr>
              <w:spacing w:after="120"/>
              <w:rPr>
                <w:rFonts w:eastAsia="Calibri"/>
                <w:b/>
                <w:bCs/>
                <w:sz w:val="22"/>
                <w:szCs w:val="22"/>
                <w:lang w:eastAsia="en-US"/>
              </w:rPr>
            </w:pPr>
            <w:r>
              <w:rPr>
                <w:rFonts w:eastAsia="Calibri"/>
                <w:bCs/>
                <w:sz w:val="22"/>
                <w:szCs w:val="22"/>
                <w:lang w:eastAsia="en-US"/>
              </w:rPr>
              <w:t>Opere edili</w:t>
            </w:r>
          </w:p>
        </w:tc>
        <w:tc>
          <w:tcPr>
            <w:tcW w:w="1701" w:type="dxa"/>
          </w:tcPr>
          <w:p w:rsidR="00E81826" w:rsidRDefault="00E81826">
            <w:pPr>
              <w:spacing w:after="120"/>
              <w:jc w:val="both"/>
              <w:rPr>
                <w:rFonts w:eastAsia="Calibri"/>
                <w:b/>
                <w:bCs/>
                <w:sz w:val="22"/>
                <w:szCs w:val="22"/>
                <w:lang w:eastAsia="en-US"/>
              </w:rPr>
            </w:pPr>
            <w:r>
              <w:rPr>
                <w:rFonts w:eastAsia="Calibri"/>
                <w:bCs/>
                <w:sz w:val="22"/>
                <w:szCs w:val="22"/>
                <w:lang w:eastAsia="en-US"/>
              </w:rPr>
              <w:t>€ 1.522.763,70</w:t>
            </w:r>
          </w:p>
        </w:tc>
        <w:tc>
          <w:tcPr>
            <w:tcW w:w="1696" w:type="dxa"/>
          </w:tcPr>
          <w:p w:rsidR="00E81826" w:rsidRDefault="00E81826">
            <w:pPr>
              <w:spacing w:after="120"/>
              <w:jc w:val="both"/>
              <w:rPr>
                <w:rFonts w:eastAsia="Calibri"/>
                <w:b/>
                <w:bCs/>
                <w:sz w:val="22"/>
                <w:szCs w:val="22"/>
                <w:lang w:eastAsia="en-US"/>
              </w:rPr>
            </w:pPr>
          </w:p>
        </w:tc>
      </w:tr>
      <w:tr w:rsidR="00E81826">
        <w:tc>
          <w:tcPr>
            <w:tcW w:w="5665" w:type="dxa"/>
          </w:tcPr>
          <w:p w:rsidR="00E81826" w:rsidRDefault="00E81826">
            <w:pPr>
              <w:spacing w:after="120"/>
              <w:jc w:val="both"/>
              <w:rPr>
                <w:rFonts w:eastAsia="Calibri"/>
                <w:b/>
                <w:bCs/>
                <w:sz w:val="22"/>
                <w:szCs w:val="22"/>
                <w:lang w:eastAsia="en-US"/>
              </w:rPr>
            </w:pPr>
            <w:r>
              <w:rPr>
                <w:rFonts w:eastAsia="Calibri"/>
                <w:bCs/>
                <w:sz w:val="22"/>
                <w:szCs w:val="22"/>
                <w:lang w:eastAsia="en-US"/>
              </w:rPr>
              <w:t>Opere per la sicurezza</w:t>
            </w:r>
          </w:p>
        </w:tc>
        <w:tc>
          <w:tcPr>
            <w:tcW w:w="1701" w:type="dxa"/>
          </w:tcPr>
          <w:p w:rsidR="00E81826" w:rsidRDefault="00E81826">
            <w:pPr>
              <w:spacing w:after="120"/>
              <w:jc w:val="both"/>
              <w:rPr>
                <w:rFonts w:eastAsia="Calibri"/>
                <w:b/>
                <w:bCs/>
                <w:sz w:val="22"/>
                <w:szCs w:val="22"/>
                <w:lang w:eastAsia="en-US"/>
              </w:rPr>
            </w:pPr>
            <w:r>
              <w:rPr>
                <w:rFonts w:eastAsia="Calibri"/>
                <w:bCs/>
                <w:sz w:val="22"/>
                <w:szCs w:val="22"/>
                <w:lang w:eastAsia="en-US"/>
              </w:rPr>
              <w:t>€      80.501,00</w:t>
            </w:r>
          </w:p>
        </w:tc>
        <w:tc>
          <w:tcPr>
            <w:tcW w:w="1696" w:type="dxa"/>
          </w:tcPr>
          <w:p w:rsidR="00E81826" w:rsidRDefault="00E81826">
            <w:pPr>
              <w:spacing w:after="120"/>
              <w:jc w:val="both"/>
              <w:rPr>
                <w:rFonts w:eastAsia="Calibri"/>
                <w:b/>
                <w:bCs/>
                <w:sz w:val="22"/>
                <w:szCs w:val="22"/>
                <w:lang w:eastAsia="en-US"/>
              </w:rPr>
            </w:pPr>
          </w:p>
        </w:tc>
      </w:tr>
      <w:tr w:rsidR="00E81826">
        <w:tc>
          <w:tcPr>
            <w:tcW w:w="5665" w:type="dxa"/>
          </w:tcPr>
          <w:p w:rsidR="00E81826" w:rsidRDefault="00E81826">
            <w:pPr>
              <w:spacing w:after="120"/>
              <w:jc w:val="both"/>
              <w:rPr>
                <w:rFonts w:eastAsia="Calibri"/>
                <w:b/>
                <w:bCs/>
                <w:sz w:val="22"/>
                <w:szCs w:val="22"/>
                <w:lang w:eastAsia="en-US"/>
              </w:rPr>
            </w:pPr>
            <w:r>
              <w:rPr>
                <w:rFonts w:eastAsia="Calibri"/>
                <w:bCs/>
                <w:sz w:val="22"/>
                <w:szCs w:val="22"/>
                <w:lang w:eastAsia="en-US"/>
              </w:rPr>
              <w:t xml:space="preserve">SOMMANO  </w:t>
            </w:r>
          </w:p>
        </w:tc>
        <w:tc>
          <w:tcPr>
            <w:tcW w:w="1701" w:type="dxa"/>
          </w:tcPr>
          <w:p w:rsidR="00E81826" w:rsidRDefault="00E81826">
            <w:pPr>
              <w:spacing w:after="120"/>
              <w:jc w:val="both"/>
              <w:rPr>
                <w:rFonts w:eastAsia="Calibri"/>
                <w:b/>
                <w:bCs/>
                <w:sz w:val="22"/>
                <w:szCs w:val="22"/>
                <w:lang w:eastAsia="en-US"/>
              </w:rPr>
            </w:pPr>
          </w:p>
        </w:tc>
        <w:tc>
          <w:tcPr>
            <w:tcW w:w="1696" w:type="dxa"/>
          </w:tcPr>
          <w:p w:rsidR="00E81826" w:rsidRDefault="00E81826">
            <w:pPr>
              <w:spacing w:after="120"/>
              <w:jc w:val="both"/>
              <w:rPr>
                <w:rFonts w:eastAsia="Calibri"/>
                <w:b/>
                <w:bCs/>
                <w:sz w:val="22"/>
                <w:szCs w:val="22"/>
                <w:lang w:eastAsia="en-US"/>
              </w:rPr>
            </w:pPr>
            <w:r>
              <w:rPr>
                <w:rFonts w:eastAsia="Calibri"/>
                <w:bCs/>
                <w:sz w:val="22"/>
                <w:szCs w:val="22"/>
                <w:lang w:eastAsia="en-US"/>
              </w:rPr>
              <w:t>€ 1.603.264,70</w:t>
            </w:r>
          </w:p>
        </w:tc>
      </w:tr>
      <w:tr w:rsidR="00E81826">
        <w:tc>
          <w:tcPr>
            <w:tcW w:w="5665" w:type="dxa"/>
          </w:tcPr>
          <w:p w:rsidR="00E81826" w:rsidRDefault="00E81826">
            <w:pPr>
              <w:spacing w:after="120"/>
              <w:jc w:val="both"/>
              <w:rPr>
                <w:rFonts w:eastAsia="Calibri"/>
                <w:b/>
                <w:bCs/>
                <w:sz w:val="16"/>
                <w:szCs w:val="16"/>
                <w:lang w:eastAsia="en-US"/>
              </w:rPr>
            </w:pPr>
          </w:p>
        </w:tc>
        <w:tc>
          <w:tcPr>
            <w:tcW w:w="1701" w:type="dxa"/>
          </w:tcPr>
          <w:p w:rsidR="00E81826" w:rsidRDefault="00E81826">
            <w:pPr>
              <w:spacing w:after="120"/>
              <w:jc w:val="both"/>
              <w:rPr>
                <w:rFonts w:eastAsia="Calibri"/>
                <w:b/>
                <w:bCs/>
                <w:sz w:val="16"/>
                <w:szCs w:val="16"/>
                <w:lang w:eastAsia="en-US"/>
              </w:rPr>
            </w:pPr>
          </w:p>
        </w:tc>
        <w:tc>
          <w:tcPr>
            <w:tcW w:w="1696" w:type="dxa"/>
          </w:tcPr>
          <w:p w:rsidR="00E81826" w:rsidRDefault="00E81826">
            <w:pPr>
              <w:spacing w:after="120"/>
              <w:jc w:val="both"/>
              <w:rPr>
                <w:rFonts w:eastAsia="Calibri"/>
                <w:b/>
                <w:bCs/>
                <w:sz w:val="16"/>
                <w:szCs w:val="16"/>
                <w:lang w:eastAsia="en-US"/>
              </w:rPr>
            </w:pPr>
          </w:p>
        </w:tc>
      </w:tr>
      <w:tr w:rsidR="00E81826">
        <w:tc>
          <w:tcPr>
            <w:tcW w:w="9062" w:type="dxa"/>
            <w:gridSpan w:val="3"/>
          </w:tcPr>
          <w:p w:rsidR="00E81826" w:rsidRDefault="00E81826">
            <w:pPr>
              <w:spacing w:after="120"/>
              <w:jc w:val="both"/>
              <w:rPr>
                <w:rFonts w:eastAsia="Calibri"/>
                <w:b/>
                <w:bCs/>
                <w:sz w:val="22"/>
                <w:szCs w:val="22"/>
                <w:lang w:eastAsia="en-US"/>
              </w:rPr>
            </w:pPr>
            <w:r>
              <w:rPr>
                <w:rFonts w:eastAsia="Calibri"/>
                <w:b/>
                <w:bCs/>
                <w:sz w:val="22"/>
                <w:szCs w:val="22"/>
                <w:lang w:eastAsia="en-US"/>
              </w:rPr>
              <w:t>SOMME A DISPOSIZIONE DELL’AMMINISTRAZIONE</w:t>
            </w:r>
          </w:p>
        </w:tc>
      </w:tr>
      <w:tr w:rsidR="00E81826">
        <w:tc>
          <w:tcPr>
            <w:tcW w:w="5665" w:type="dxa"/>
          </w:tcPr>
          <w:p w:rsidR="00E81826" w:rsidRDefault="00E81826">
            <w:pPr>
              <w:spacing w:after="120"/>
              <w:jc w:val="both"/>
              <w:rPr>
                <w:rFonts w:eastAsia="Calibri"/>
                <w:b/>
                <w:bCs/>
                <w:sz w:val="22"/>
                <w:szCs w:val="22"/>
                <w:lang w:eastAsia="en-US"/>
              </w:rPr>
            </w:pPr>
            <w:r>
              <w:rPr>
                <w:rFonts w:eastAsia="Calibri"/>
                <w:bCs/>
                <w:sz w:val="22"/>
                <w:szCs w:val="22"/>
                <w:lang w:eastAsia="en-US"/>
              </w:rPr>
              <w:t>IVA 10%</w:t>
            </w:r>
          </w:p>
        </w:tc>
        <w:tc>
          <w:tcPr>
            <w:tcW w:w="1701" w:type="dxa"/>
          </w:tcPr>
          <w:p w:rsidR="00E81826" w:rsidRDefault="00E81826">
            <w:pPr>
              <w:spacing w:after="120"/>
              <w:jc w:val="both"/>
              <w:rPr>
                <w:rFonts w:eastAsia="Calibri"/>
                <w:b/>
                <w:bCs/>
                <w:sz w:val="22"/>
                <w:szCs w:val="22"/>
                <w:lang w:eastAsia="en-US"/>
              </w:rPr>
            </w:pPr>
            <w:r>
              <w:rPr>
                <w:rFonts w:eastAsia="Calibri"/>
                <w:bCs/>
                <w:sz w:val="22"/>
                <w:szCs w:val="22"/>
                <w:lang w:eastAsia="en-US"/>
              </w:rPr>
              <w:t>€    160.326,47</w:t>
            </w:r>
          </w:p>
        </w:tc>
        <w:tc>
          <w:tcPr>
            <w:tcW w:w="1696" w:type="dxa"/>
          </w:tcPr>
          <w:p w:rsidR="00E81826" w:rsidRDefault="00E81826">
            <w:pPr>
              <w:spacing w:after="120"/>
              <w:jc w:val="both"/>
              <w:rPr>
                <w:rFonts w:eastAsia="Calibri"/>
                <w:b/>
                <w:bCs/>
                <w:sz w:val="22"/>
                <w:szCs w:val="22"/>
                <w:lang w:eastAsia="en-US"/>
              </w:rPr>
            </w:pPr>
          </w:p>
        </w:tc>
      </w:tr>
      <w:tr w:rsidR="00E81826">
        <w:tc>
          <w:tcPr>
            <w:tcW w:w="5665" w:type="dxa"/>
          </w:tcPr>
          <w:p w:rsidR="00E81826" w:rsidRDefault="00E81826">
            <w:pPr>
              <w:spacing w:after="120"/>
              <w:jc w:val="both"/>
              <w:rPr>
                <w:rFonts w:eastAsia="Calibri"/>
                <w:bCs/>
                <w:sz w:val="22"/>
                <w:szCs w:val="22"/>
                <w:lang w:eastAsia="en-US"/>
              </w:rPr>
            </w:pPr>
            <w:r>
              <w:rPr>
                <w:rFonts w:eastAsia="Calibri"/>
                <w:bCs/>
                <w:sz w:val="22"/>
                <w:szCs w:val="22"/>
                <w:lang w:eastAsia="en-US"/>
              </w:rPr>
              <w:t>Somme già liquidate al 31.07.2019</w:t>
            </w:r>
          </w:p>
        </w:tc>
        <w:tc>
          <w:tcPr>
            <w:tcW w:w="1701" w:type="dxa"/>
          </w:tcPr>
          <w:p w:rsidR="00E81826" w:rsidRDefault="00E81826">
            <w:pPr>
              <w:spacing w:after="120"/>
              <w:jc w:val="both"/>
              <w:rPr>
                <w:rFonts w:eastAsia="Calibri"/>
                <w:b/>
                <w:bCs/>
                <w:sz w:val="22"/>
                <w:szCs w:val="22"/>
                <w:lang w:eastAsia="en-US"/>
              </w:rPr>
            </w:pPr>
            <w:r>
              <w:rPr>
                <w:rFonts w:eastAsia="Calibri"/>
                <w:bCs/>
                <w:sz w:val="22"/>
                <w:szCs w:val="22"/>
                <w:lang w:eastAsia="en-US"/>
              </w:rPr>
              <w:t>€    281.614,04</w:t>
            </w:r>
          </w:p>
        </w:tc>
        <w:tc>
          <w:tcPr>
            <w:tcW w:w="1696" w:type="dxa"/>
          </w:tcPr>
          <w:p w:rsidR="00E81826" w:rsidRDefault="00E81826">
            <w:pPr>
              <w:spacing w:after="120"/>
              <w:jc w:val="both"/>
              <w:rPr>
                <w:rFonts w:eastAsia="Calibri"/>
                <w:b/>
                <w:bCs/>
                <w:sz w:val="22"/>
                <w:szCs w:val="22"/>
                <w:lang w:eastAsia="en-US"/>
              </w:rPr>
            </w:pPr>
          </w:p>
        </w:tc>
      </w:tr>
      <w:tr w:rsidR="00E81826">
        <w:tc>
          <w:tcPr>
            <w:tcW w:w="5665" w:type="dxa"/>
          </w:tcPr>
          <w:p w:rsidR="00E81826" w:rsidRDefault="00E81826">
            <w:pPr>
              <w:spacing w:after="120"/>
              <w:jc w:val="both"/>
              <w:rPr>
                <w:rFonts w:eastAsia="Calibri"/>
                <w:b/>
                <w:bCs/>
                <w:sz w:val="22"/>
                <w:szCs w:val="22"/>
                <w:lang w:eastAsia="en-US"/>
              </w:rPr>
            </w:pPr>
            <w:r>
              <w:rPr>
                <w:rFonts w:eastAsia="Calibri"/>
                <w:bCs/>
                <w:sz w:val="22"/>
                <w:szCs w:val="22"/>
                <w:lang w:eastAsia="en-US"/>
              </w:rPr>
              <w:t>Altre spese tecniche (IVA e oneri compresi)</w:t>
            </w:r>
          </w:p>
        </w:tc>
        <w:tc>
          <w:tcPr>
            <w:tcW w:w="1701" w:type="dxa"/>
          </w:tcPr>
          <w:p w:rsidR="00E81826" w:rsidRDefault="00E81826">
            <w:pPr>
              <w:spacing w:after="120"/>
              <w:jc w:val="both"/>
              <w:rPr>
                <w:rFonts w:eastAsia="Calibri"/>
                <w:b/>
                <w:bCs/>
                <w:sz w:val="22"/>
                <w:szCs w:val="22"/>
                <w:lang w:eastAsia="en-US"/>
              </w:rPr>
            </w:pPr>
            <w:r>
              <w:rPr>
                <w:rFonts w:eastAsia="Calibri"/>
                <w:bCs/>
                <w:sz w:val="22"/>
                <w:szCs w:val="22"/>
                <w:lang w:eastAsia="en-US"/>
              </w:rPr>
              <w:t>€      80.000,00</w:t>
            </w:r>
          </w:p>
        </w:tc>
        <w:tc>
          <w:tcPr>
            <w:tcW w:w="1696" w:type="dxa"/>
          </w:tcPr>
          <w:p w:rsidR="00E81826" w:rsidRDefault="00E81826">
            <w:pPr>
              <w:spacing w:after="120"/>
              <w:jc w:val="both"/>
              <w:rPr>
                <w:rFonts w:eastAsia="Calibri"/>
                <w:b/>
                <w:bCs/>
                <w:sz w:val="22"/>
                <w:szCs w:val="22"/>
                <w:lang w:eastAsia="en-US"/>
              </w:rPr>
            </w:pPr>
          </w:p>
        </w:tc>
      </w:tr>
      <w:tr w:rsidR="00E81826">
        <w:tc>
          <w:tcPr>
            <w:tcW w:w="5665" w:type="dxa"/>
          </w:tcPr>
          <w:p w:rsidR="00E81826" w:rsidRDefault="00E81826">
            <w:pPr>
              <w:spacing w:after="120"/>
              <w:jc w:val="both"/>
              <w:rPr>
                <w:rFonts w:eastAsia="Calibri"/>
                <w:b/>
                <w:bCs/>
                <w:sz w:val="22"/>
                <w:szCs w:val="22"/>
                <w:lang w:eastAsia="en-US"/>
              </w:rPr>
            </w:pPr>
            <w:r>
              <w:rPr>
                <w:rFonts w:eastAsia="Calibri"/>
                <w:bCs/>
                <w:sz w:val="22"/>
                <w:szCs w:val="22"/>
                <w:lang w:eastAsia="en-US"/>
              </w:rPr>
              <w:t>Imprevisti (IVA compresa)</w:t>
            </w:r>
          </w:p>
        </w:tc>
        <w:tc>
          <w:tcPr>
            <w:tcW w:w="1701" w:type="dxa"/>
          </w:tcPr>
          <w:p w:rsidR="00E81826" w:rsidRDefault="00E81826">
            <w:pPr>
              <w:spacing w:after="120"/>
              <w:jc w:val="both"/>
              <w:rPr>
                <w:rFonts w:eastAsia="Calibri"/>
                <w:b/>
                <w:bCs/>
                <w:sz w:val="22"/>
                <w:szCs w:val="22"/>
                <w:lang w:eastAsia="en-US"/>
              </w:rPr>
            </w:pPr>
            <w:r>
              <w:rPr>
                <w:rFonts w:eastAsia="Calibri"/>
                <w:bCs/>
                <w:sz w:val="22"/>
                <w:szCs w:val="22"/>
                <w:lang w:eastAsia="en-US"/>
              </w:rPr>
              <w:t>€    224.794,79</w:t>
            </w:r>
          </w:p>
        </w:tc>
        <w:tc>
          <w:tcPr>
            <w:tcW w:w="1696" w:type="dxa"/>
          </w:tcPr>
          <w:p w:rsidR="00E81826" w:rsidRDefault="00E81826">
            <w:pPr>
              <w:spacing w:after="120"/>
              <w:jc w:val="both"/>
              <w:rPr>
                <w:rFonts w:eastAsia="Calibri"/>
                <w:b/>
                <w:bCs/>
                <w:sz w:val="22"/>
                <w:szCs w:val="22"/>
                <w:lang w:eastAsia="en-US"/>
              </w:rPr>
            </w:pPr>
          </w:p>
        </w:tc>
      </w:tr>
      <w:tr w:rsidR="00E81826">
        <w:tc>
          <w:tcPr>
            <w:tcW w:w="5665" w:type="dxa"/>
          </w:tcPr>
          <w:p w:rsidR="00E81826" w:rsidRDefault="00E81826">
            <w:pPr>
              <w:spacing w:after="120"/>
              <w:jc w:val="both"/>
              <w:rPr>
                <w:rFonts w:eastAsia="Calibri"/>
                <w:b/>
                <w:bCs/>
                <w:sz w:val="22"/>
                <w:szCs w:val="22"/>
                <w:lang w:eastAsia="en-US"/>
              </w:rPr>
            </w:pPr>
            <w:r>
              <w:rPr>
                <w:rFonts w:eastAsia="Calibri"/>
                <w:b/>
                <w:bCs/>
                <w:sz w:val="22"/>
                <w:szCs w:val="22"/>
                <w:lang w:eastAsia="en-US"/>
              </w:rPr>
              <w:t>SOMMANO SOMME A DISPOSIZIONE</w:t>
            </w:r>
          </w:p>
        </w:tc>
        <w:tc>
          <w:tcPr>
            <w:tcW w:w="1701" w:type="dxa"/>
          </w:tcPr>
          <w:p w:rsidR="00E81826" w:rsidRDefault="00E81826">
            <w:pPr>
              <w:spacing w:after="120"/>
              <w:jc w:val="both"/>
              <w:rPr>
                <w:rFonts w:eastAsia="Calibri"/>
                <w:b/>
                <w:bCs/>
                <w:sz w:val="22"/>
                <w:szCs w:val="22"/>
                <w:lang w:eastAsia="en-US"/>
              </w:rPr>
            </w:pPr>
          </w:p>
        </w:tc>
        <w:tc>
          <w:tcPr>
            <w:tcW w:w="1696" w:type="dxa"/>
          </w:tcPr>
          <w:p w:rsidR="00E81826" w:rsidRDefault="00E81826">
            <w:pPr>
              <w:spacing w:after="120"/>
              <w:jc w:val="both"/>
              <w:rPr>
                <w:rFonts w:eastAsia="Calibri"/>
                <w:b/>
                <w:bCs/>
                <w:sz w:val="22"/>
                <w:szCs w:val="22"/>
                <w:lang w:eastAsia="en-US"/>
              </w:rPr>
            </w:pPr>
            <w:r>
              <w:rPr>
                <w:rFonts w:eastAsia="Calibri"/>
                <w:bCs/>
                <w:sz w:val="22"/>
                <w:szCs w:val="22"/>
                <w:lang w:eastAsia="en-US"/>
              </w:rPr>
              <w:t>€    746.735,30</w:t>
            </w:r>
          </w:p>
        </w:tc>
      </w:tr>
      <w:tr w:rsidR="00E81826">
        <w:tc>
          <w:tcPr>
            <w:tcW w:w="5665" w:type="dxa"/>
          </w:tcPr>
          <w:p w:rsidR="00E81826" w:rsidRDefault="00E81826">
            <w:pPr>
              <w:spacing w:after="120"/>
              <w:jc w:val="both"/>
              <w:rPr>
                <w:rFonts w:eastAsia="Calibri"/>
                <w:b/>
                <w:bCs/>
                <w:sz w:val="16"/>
                <w:szCs w:val="16"/>
                <w:lang w:eastAsia="en-US"/>
              </w:rPr>
            </w:pPr>
          </w:p>
        </w:tc>
        <w:tc>
          <w:tcPr>
            <w:tcW w:w="1701" w:type="dxa"/>
          </w:tcPr>
          <w:p w:rsidR="00E81826" w:rsidRDefault="00E81826">
            <w:pPr>
              <w:spacing w:after="120"/>
              <w:jc w:val="both"/>
              <w:rPr>
                <w:rFonts w:eastAsia="Calibri"/>
                <w:b/>
                <w:bCs/>
                <w:sz w:val="16"/>
                <w:szCs w:val="16"/>
                <w:lang w:eastAsia="en-US"/>
              </w:rPr>
            </w:pPr>
          </w:p>
        </w:tc>
        <w:tc>
          <w:tcPr>
            <w:tcW w:w="1696" w:type="dxa"/>
          </w:tcPr>
          <w:p w:rsidR="00E81826" w:rsidRDefault="00E81826">
            <w:pPr>
              <w:spacing w:after="120"/>
              <w:jc w:val="both"/>
              <w:rPr>
                <w:rFonts w:eastAsia="Calibri"/>
                <w:b/>
                <w:bCs/>
                <w:sz w:val="16"/>
                <w:szCs w:val="16"/>
                <w:lang w:eastAsia="en-US"/>
              </w:rPr>
            </w:pPr>
          </w:p>
        </w:tc>
      </w:tr>
      <w:tr w:rsidR="00E81826">
        <w:tc>
          <w:tcPr>
            <w:tcW w:w="7366" w:type="dxa"/>
            <w:gridSpan w:val="2"/>
          </w:tcPr>
          <w:p w:rsidR="00E81826" w:rsidRDefault="00E81826">
            <w:pPr>
              <w:spacing w:after="120"/>
              <w:jc w:val="both"/>
              <w:rPr>
                <w:rFonts w:eastAsia="Calibri"/>
                <w:b/>
                <w:bCs/>
                <w:sz w:val="22"/>
                <w:szCs w:val="22"/>
                <w:lang w:eastAsia="en-US"/>
              </w:rPr>
            </w:pPr>
            <w:r>
              <w:rPr>
                <w:rFonts w:eastAsia="Calibri"/>
                <w:b/>
                <w:bCs/>
                <w:sz w:val="22"/>
                <w:szCs w:val="22"/>
                <w:lang w:eastAsia="en-US"/>
              </w:rPr>
              <w:t>TOTALE GENERALE</w:t>
            </w:r>
          </w:p>
        </w:tc>
        <w:tc>
          <w:tcPr>
            <w:tcW w:w="1696" w:type="dxa"/>
          </w:tcPr>
          <w:p w:rsidR="00E81826" w:rsidRDefault="00E81826">
            <w:pPr>
              <w:spacing w:after="120"/>
              <w:jc w:val="both"/>
              <w:rPr>
                <w:rFonts w:eastAsia="Calibri"/>
                <w:b/>
                <w:bCs/>
                <w:sz w:val="22"/>
                <w:szCs w:val="22"/>
                <w:lang w:eastAsia="en-US"/>
              </w:rPr>
            </w:pPr>
            <w:r>
              <w:rPr>
                <w:rFonts w:eastAsia="Calibri"/>
                <w:b/>
                <w:bCs/>
                <w:sz w:val="22"/>
                <w:szCs w:val="22"/>
                <w:lang w:eastAsia="en-US"/>
              </w:rPr>
              <w:t>€ 2.350.000,00</w:t>
            </w:r>
          </w:p>
        </w:tc>
      </w:tr>
    </w:tbl>
    <w:p w:rsidR="00E81826" w:rsidRDefault="00E81826">
      <w:pPr>
        <w:jc w:val="both"/>
        <w:rPr>
          <w:rFonts w:eastAsia="Calibri"/>
          <w:bCs/>
          <w:sz w:val="23"/>
          <w:szCs w:val="22"/>
          <w:lang w:eastAsia="en-US"/>
        </w:rPr>
      </w:pPr>
    </w:p>
    <w:p w:rsidR="00E81826" w:rsidRDefault="00E81826">
      <w:pPr>
        <w:spacing w:after="160" w:line="259" w:lineRule="auto"/>
        <w:jc w:val="both"/>
        <w:rPr>
          <w:rFonts w:ascii="Arial" w:eastAsia="Calibri" w:hAnsi="Arial" w:cs="Arial"/>
          <w:bCs/>
          <w:sz w:val="23"/>
          <w:szCs w:val="24"/>
          <w:lang w:eastAsia="en-US"/>
        </w:rPr>
      </w:pPr>
      <w:r>
        <w:rPr>
          <w:rFonts w:ascii="Arial" w:eastAsia="Calibri" w:hAnsi="Arial" w:cs="Arial"/>
          <w:bCs/>
          <w:sz w:val="23"/>
          <w:szCs w:val="24"/>
          <w:lang w:eastAsia="en-US"/>
        </w:rPr>
        <w:t xml:space="preserve">A seguire, e dopo opportune valutazioni ed incontri tecnici di merito, si è palesata l’identificazione di alcune lavorazioni impreviste ed imprevedibili, da approvare dalla committente CCIAA Venezia Giulia, dopo opportuna presentazione da parte del direttore dei lavori, arch. Lorenzo Gasperini di Trieste, della documentazione di perizia suppletiva e di variante in corso d’opera, secondo quanto previsto dall’art. 132, comma 1, lettera c) </w:t>
      </w:r>
      <w:r>
        <w:rPr>
          <w:rFonts w:ascii="Arial" w:eastAsia="Calibri" w:hAnsi="Arial" w:cs="Arial"/>
          <w:bCs/>
          <w:sz w:val="23"/>
          <w:szCs w:val="24"/>
          <w:lang w:eastAsia="en-US"/>
        </w:rPr>
        <w:lastRenderedPageBreak/>
        <w:t>del D.Lgs n. 163/2006 e dell’art. 161 del DPR n. 207/2010 applicabili ratione temporis ai sensi dell’art. 216 del D.lgs n. 50/2016 e della relativa relazione del responsabile del procedimento dd. 15 novembre 2019.</w:t>
      </w:r>
    </w:p>
    <w:p w:rsidR="00E81826" w:rsidRDefault="00E81826">
      <w:pPr>
        <w:spacing w:after="160" w:line="259" w:lineRule="auto"/>
        <w:jc w:val="both"/>
        <w:rPr>
          <w:rFonts w:ascii="Arial" w:eastAsia="Calibri" w:hAnsi="Arial" w:cs="Arial"/>
          <w:color w:val="000000"/>
          <w:sz w:val="23"/>
          <w:szCs w:val="24"/>
          <w:lang w:eastAsia="en-US"/>
        </w:rPr>
      </w:pPr>
      <w:r>
        <w:rPr>
          <w:rFonts w:ascii="Arial" w:eastAsia="Calibri" w:hAnsi="Arial" w:cs="Arial"/>
          <w:bCs/>
          <w:sz w:val="23"/>
          <w:szCs w:val="24"/>
          <w:lang w:eastAsia="en-US"/>
        </w:rPr>
        <w:t>La proposta di</w:t>
      </w:r>
      <w:r>
        <w:rPr>
          <w:sz w:val="23"/>
          <w:szCs w:val="24"/>
        </w:rPr>
        <w:t xml:space="preserve"> </w:t>
      </w:r>
      <w:r>
        <w:rPr>
          <w:rFonts w:ascii="Arial" w:eastAsia="Calibri" w:hAnsi="Arial" w:cs="Arial"/>
          <w:bCs/>
          <w:sz w:val="23"/>
          <w:szCs w:val="24"/>
          <w:lang w:eastAsia="en-US"/>
        </w:rPr>
        <w:t xml:space="preserve">perizia suppletiva e di variante in corso d’opera </w:t>
      </w:r>
      <w:r>
        <w:rPr>
          <w:rFonts w:ascii="Arial" w:eastAsia="Calibri" w:hAnsi="Arial" w:cs="Arial"/>
          <w:color w:val="000000"/>
          <w:sz w:val="23"/>
          <w:szCs w:val="24"/>
          <w:lang w:eastAsia="en-US"/>
        </w:rPr>
        <w:t>trasmessa in data 15 novembre 2019, è composta da:</w:t>
      </w:r>
      <w:r>
        <w:rPr>
          <w:rFonts w:eastAsia="Calibri"/>
          <w:color w:val="000000"/>
          <w:sz w:val="24"/>
          <w:szCs w:val="24"/>
        </w:rPr>
        <w:t xml:space="preserve"> </w:t>
      </w:r>
      <w:r>
        <w:rPr>
          <w:rFonts w:ascii="Arial" w:eastAsia="Calibri" w:hAnsi="Arial" w:cs="Arial"/>
          <w:color w:val="000000"/>
          <w:sz w:val="23"/>
          <w:szCs w:val="24"/>
        </w:rPr>
        <w:t>Relazione tecnica, Quadro economico di perizia e Computo metrico estimativo; Atto di sottomissione,</w:t>
      </w:r>
      <w:r>
        <w:rPr>
          <w:rFonts w:ascii="Arial" w:eastAsia="Calibri" w:hAnsi="Arial" w:cs="Arial"/>
          <w:color w:val="000000"/>
          <w:sz w:val="23"/>
          <w:szCs w:val="24"/>
          <w:lang w:eastAsia="en-US"/>
        </w:rPr>
        <w:t xml:space="preserve"> agli atti dell’Ufficio Provveditorato e Servizi Generali.</w:t>
      </w:r>
    </w:p>
    <w:p w:rsidR="00E81826" w:rsidRDefault="00E81826">
      <w:pPr>
        <w:autoSpaceDE w:val="0"/>
        <w:autoSpaceDN w:val="0"/>
        <w:adjustRightInd w:val="0"/>
        <w:spacing w:after="120"/>
        <w:jc w:val="both"/>
        <w:rPr>
          <w:rFonts w:ascii="Arial" w:eastAsia="Calibri" w:hAnsi="Arial" w:cs="Arial"/>
          <w:bCs/>
          <w:sz w:val="23"/>
          <w:szCs w:val="24"/>
          <w:lang w:eastAsia="en-US"/>
        </w:rPr>
      </w:pPr>
      <w:r>
        <w:rPr>
          <w:rFonts w:ascii="Arial" w:eastAsia="Calibri" w:hAnsi="Arial" w:cs="Arial"/>
          <w:bCs/>
          <w:sz w:val="23"/>
          <w:szCs w:val="24"/>
          <w:lang w:eastAsia="en-US"/>
        </w:rPr>
        <w:t>La documentazione prodotta dalla D.L. arch. Gasperini, precisa, che le lavorazioni di cui ai seguenti prezzi:</w:t>
      </w:r>
    </w:p>
    <w:p w:rsidR="00E81826" w:rsidRDefault="00E81826">
      <w:pPr>
        <w:spacing w:after="49" w:line="259" w:lineRule="auto"/>
        <w:jc w:val="both"/>
        <w:rPr>
          <w:rFonts w:ascii="Arial" w:eastAsia="Calibri" w:hAnsi="Arial" w:cs="Arial"/>
          <w:sz w:val="23"/>
          <w:lang w:eastAsia="en-US"/>
        </w:rPr>
      </w:pPr>
      <w:r>
        <w:rPr>
          <w:rFonts w:ascii="Arial" w:eastAsia="Calibri" w:hAnsi="Arial" w:cs="Arial"/>
          <w:sz w:val="23"/>
          <w:lang w:eastAsia="en-US"/>
        </w:rPr>
        <w:t xml:space="preserve">1. NP 01 – montaggio e smontaggio di struttura multidirezionale </w:t>
      </w:r>
    </w:p>
    <w:p w:rsidR="00E81826" w:rsidRDefault="00E81826">
      <w:pPr>
        <w:spacing w:after="49" w:line="259" w:lineRule="auto"/>
        <w:jc w:val="both"/>
        <w:rPr>
          <w:rFonts w:ascii="Arial" w:eastAsia="Calibri" w:hAnsi="Arial" w:cs="Arial"/>
          <w:sz w:val="23"/>
          <w:lang w:eastAsia="en-US"/>
        </w:rPr>
      </w:pPr>
      <w:r>
        <w:rPr>
          <w:rFonts w:ascii="Arial" w:eastAsia="Calibri" w:hAnsi="Arial" w:cs="Arial"/>
          <w:sz w:val="23"/>
          <w:lang w:eastAsia="en-US"/>
        </w:rPr>
        <w:t xml:space="preserve">2. NP 02 – noleggio integrativo di tutta l’attrezzatura descritta al NP 01 </w:t>
      </w:r>
    </w:p>
    <w:p w:rsidR="00E81826" w:rsidRDefault="00E81826">
      <w:pPr>
        <w:spacing w:after="49" w:line="259" w:lineRule="auto"/>
        <w:jc w:val="both"/>
        <w:rPr>
          <w:rFonts w:ascii="Arial" w:eastAsia="Calibri" w:hAnsi="Arial" w:cs="Arial"/>
          <w:sz w:val="23"/>
          <w:lang w:eastAsia="en-US"/>
        </w:rPr>
      </w:pPr>
      <w:r>
        <w:rPr>
          <w:rFonts w:ascii="Arial" w:eastAsia="Calibri" w:hAnsi="Arial" w:cs="Arial"/>
          <w:sz w:val="23"/>
          <w:lang w:eastAsia="en-US"/>
        </w:rPr>
        <w:t xml:space="preserve">3. NP 03 – maggiori quantità di intonaci </w:t>
      </w:r>
    </w:p>
    <w:p w:rsidR="00E81826" w:rsidRDefault="00E81826">
      <w:pPr>
        <w:spacing w:after="49" w:line="259" w:lineRule="auto"/>
        <w:jc w:val="both"/>
        <w:rPr>
          <w:rFonts w:ascii="Arial" w:eastAsia="Calibri" w:hAnsi="Arial" w:cs="Arial"/>
          <w:sz w:val="23"/>
          <w:lang w:eastAsia="en-US"/>
        </w:rPr>
      </w:pPr>
      <w:r>
        <w:rPr>
          <w:rFonts w:ascii="Arial" w:eastAsia="Calibri" w:hAnsi="Arial" w:cs="Arial"/>
          <w:sz w:val="23"/>
          <w:lang w:eastAsia="en-US"/>
        </w:rPr>
        <w:t xml:space="preserve">4. NP 04 – realizzazione di opere in lamiera </w:t>
      </w:r>
    </w:p>
    <w:p w:rsidR="00E81826" w:rsidRDefault="00E81826">
      <w:pPr>
        <w:spacing w:after="49" w:line="259" w:lineRule="auto"/>
        <w:jc w:val="both"/>
        <w:rPr>
          <w:rFonts w:ascii="Arial" w:eastAsia="Calibri" w:hAnsi="Arial" w:cs="Arial"/>
          <w:sz w:val="23"/>
          <w:lang w:eastAsia="en-US"/>
        </w:rPr>
      </w:pPr>
      <w:r>
        <w:rPr>
          <w:rFonts w:ascii="Arial" w:eastAsia="Calibri" w:hAnsi="Arial" w:cs="Arial"/>
          <w:sz w:val="23"/>
          <w:lang w:eastAsia="en-US"/>
        </w:rPr>
        <w:t xml:space="preserve">5. NP 05 – fornitura e posa dei rivestimenti di copertura in lamiera </w:t>
      </w:r>
    </w:p>
    <w:p w:rsidR="00E81826" w:rsidRDefault="00E81826">
      <w:pPr>
        <w:spacing w:after="49" w:line="259" w:lineRule="auto"/>
        <w:jc w:val="both"/>
        <w:rPr>
          <w:rFonts w:ascii="Arial" w:eastAsia="Calibri" w:hAnsi="Arial" w:cs="Arial"/>
          <w:sz w:val="23"/>
          <w:lang w:eastAsia="en-US"/>
        </w:rPr>
      </w:pPr>
      <w:r>
        <w:rPr>
          <w:rFonts w:ascii="Arial" w:eastAsia="Calibri" w:hAnsi="Arial" w:cs="Arial"/>
          <w:sz w:val="23"/>
          <w:lang w:eastAsia="en-US"/>
        </w:rPr>
        <w:t xml:space="preserve">6. NP 06 – realizzazione di nuovo manto impermeabile </w:t>
      </w:r>
    </w:p>
    <w:p w:rsidR="00E81826" w:rsidRDefault="00E81826">
      <w:pPr>
        <w:spacing w:after="49" w:line="259" w:lineRule="auto"/>
        <w:jc w:val="both"/>
        <w:rPr>
          <w:rFonts w:ascii="Arial" w:eastAsia="Calibri" w:hAnsi="Arial" w:cs="Arial"/>
          <w:sz w:val="23"/>
          <w:lang w:eastAsia="en-US"/>
        </w:rPr>
      </w:pPr>
      <w:r>
        <w:rPr>
          <w:rFonts w:ascii="Arial" w:eastAsia="Calibri" w:hAnsi="Arial" w:cs="Arial"/>
          <w:sz w:val="23"/>
          <w:lang w:eastAsia="en-US"/>
        </w:rPr>
        <w:t xml:space="preserve">7. NP 07 – ripresa delle murature con metodo scuci-cuci </w:t>
      </w:r>
    </w:p>
    <w:p w:rsidR="00E81826" w:rsidRDefault="00E81826">
      <w:pPr>
        <w:spacing w:after="49" w:line="259" w:lineRule="auto"/>
        <w:jc w:val="both"/>
        <w:rPr>
          <w:rFonts w:ascii="Arial" w:eastAsia="Calibri" w:hAnsi="Arial" w:cs="Arial"/>
          <w:sz w:val="23"/>
          <w:lang w:eastAsia="en-US"/>
        </w:rPr>
      </w:pPr>
      <w:r>
        <w:rPr>
          <w:rFonts w:ascii="Arial" w:eastAsia="Calibri" w:hAnsi="Arial" w:cs="Arial"/>
          <w:sz w:val="23"/>
          <w:lang w:eastAsia="en-US"/>
        </w:rPr>
        <w:t xml:space="preserve">8. NP 08 – passivatura dei tiranti metallici in ferro </w:t>
      </w:r>
    </w:p>
    <w:p w:rsidR="00E81826" w:rsidRDefault="00E81826">
      <w:pPr>
        <w:spacing w:after="49" w:line="259" w:lineRule="auto"/>
        <w:jc w:val="both"/>
        <w:rPr>
          <w:rFonts w:ascii="Arial" w:eastAsia="Calibri" w:hAnsi="Arial" w:cs="Arial"/>
          <w:sz w:val="23"/>
          <w:lang w:eastAsia="en-US"/>
        </w:rPr>
      </w:pPr>
      <w:r>
        <w:rPr>
          <w:rFonts w:ascii="Arial" w:eastAsia="Calibri" w:hAnsi="Arial" w:cs="Arial"/>
          <w:sz w:val="23"/>
          <w:lang w:eastAsia="en-US"/>
        </w:rPr>
        <w:t xml:space="preserve">9. NP 09 – consolidamento degli elementi in pietra artificiale </w:t>
      </w:r>
    </w:p>
    <w:p w:rsidR="00E81826" w:rsidRDefault="00E81826">
      <w:pPr>
        <w:spacing w:after="80"/>
        <w:jc w:val="both"/>
        <w:rPr>
          <w:rFonts w:ascii="Arial" w:eastAsia="Calibri" w:hAnsi="Arial" w:cs="Arial"/>
          <w:sz w:val="23"/>
          <w:lang w:eastAsia="en-US"/>
        </w:rPr>
      </w:pPr>
      <w:r>
        <w:rPr>
          <w:rFonts w:ascii="Arial" w:eastAsia="Calibri" w:hAnsi="Arial" w:cs="Arial"/>
          <w:sz w:val="23"/>
          <w:lang w:eastAsia="en-US"/>
        </w:rPr>
        <w:t xml:space="preserve">10. NP 10 – manutenzione del solo lato esterno dei serramenti del museo al secondo piano </w:t>
      </w:r>
    </w:p>
    <w:p w:rsidR="00E81826" w:rsidRDefault="00E81826">
      <w:pPr>
        <w:autoSpaceDE w:val="0"/>
        <w:autoSpaceDN w:val="0"/>
        <w:adjustRightInd w:val="0"/>
        <w:spacing w:after="160" w:line="259" w:lineRule="auto"/>
        <w:jc w:val="both"/>
        <w:rPr>
          <w:rFonts w:ascii="Arial" w:eastAsia="Calibri" w:hAnsi="Arial" w:cs="Arial"/>
          <w:bCs/>
          <w:sz w:val="23"/>
          <w:szCs w:val="24"/>
          <w:lang w:eastAsia="en-US"/>
        </w:rPr>
      </w:pPr>
      <w:r>
        <w:rPr>
          <w:rFonts w:ascii="Arial" w:eastAsia="Calibri" w:hAnsi="Arial" w:cs="Arial"/>
          <w:bCs/>
          <w:sz w:val="23"/>
          <w:szCs w:val="22"/>
          <w:lang w:eastAsia="en-US"/>
        </w:rPr>
        <w:t>si rendono necessarie per “</w:t>
      </w:r>
      <w:r>
        <w:rPr>
          <w:rFonts w:ascii="Arial" w:eastAsia="Calibri" w:hAnsi="Arial" w:cs="Arial"/>
          <w:sz w:val="23"/>
          <w:szCs w:val="22"/>
          <w:lang w:eastAsia="en-US"/>
        </w:rPr>
        <w:t>la realizzazione compiuta dell’opera, a regola d’arte e nell’interesse degli obiettivi prefissati dalla Committenza, laddove alcune opere hanno avuto la necessità di modifica delle caratteristiche e delle quantità, altre di migliorie tecniche, a seguito di sopraggiunte e variate necessità sia della stessa Stazione Appaltante che degli altri Attori coinvolti nell’appalto, nonché di imposizioni da parte della Soprintendenza Archeologia Belle Arti e paesaggio del Friuli Venezia Giulia a seguito dei sopralluoghi congiunti”; in particolare quanto a tale ultimo aspetto, s</w:t>
      </w:r>
      <w:r>
        <w:rPr>
          <w:rFonts w:ascii="Arial" w:eastAsia="Calibri" w:hAnsi="Arial" w:cs="Arial"/>
          <w:sz w:val="23"/>
          <w:szCs w:val="24"/>
          <w:lang w:eastAsia="en-US"/>
        </w:rPr>
        <w:t>i evidenzia che le opere imposte dalla Soprintendenza, a seguito dei sopralluoghi congiunti tra le parti, riguardano i nuovi prezzi NP04 e NP05 (in quanto materiale specificatamente concordato), il nuovo prezzo NP07, che individua il metodo più consono ai caratteri dell’immobile per ripristinarne la muratura, ed il nuovo prezzo NP09, in quanto i decori sono stati oggetto di specifico sopralluogo in cui sono state definite le modalità di ripristino e restauro degli stessi.</w:t>
      </w:r>
    </w:p>
    <w:p w:rsidR="00E81826" w:rsidRDefault="00E81826">
      <w:pPr>
        <w:autoSpaceDE w:val="0"/>
        <w:autoSpaceDN w:val="0"/>
        <w:adjustRightInd w:val="0"/>
        <w:spacing w:after="80"/>
        <w:jc w:val="both"/>
        <w:rPr>
          <w:rFonts w:ascii="Arial" w:eastAsia="MS Mincho" w:hAnsi="Arial" w:cs="Arial"/>
          <w:sz w:val="23"/>
          <w:szCs w:val="24"/>
          <w:lang w:eastAsia="ja-JP"/>
        </w:rPr>
      </w:pPr>
      <w:r>
        <w:rPr>
          <w:rFonts w:ascii="Arial" w:eastAsia="MS Mincho" w:hAnsi="Arial" w:cs="Arial"/>
          <w:sz w:val="23"/>
          <w:szCs w:val="24"/>
          <w:lang w:eastAsia="ja-JP"/>
        </w:rPr>
        <w:t xml:space="preserve">Considerato pertanto che, come risulta dagli atti istruttori, la suddetta </w:t>
      </w:r>
      <w:r>
        <w:rPr>
          <w:rFonts w:ascii="Arial" w:eastAsia="Calibri" w:hAnsi="Arial" w:cs="Arial"/>
          <w:color w:val="000000"/>
          <w:sz w:val="23"/>
          <w:szCs w:val="24"/>
          <w:lang w:eastAsia="en-US"/>
        </w:rPr>
        <w:t>perizia di variante è necessaria in quanto consente di:</w:t>
      </w:r>
    </w:p>
    <w:p w:rsidR="00E81826" w:rsidRDefault="00E81826">
      <w:pPr>
        <w:numPr>
          <w:ilvl w:val="0"/>
          <w:numId w:val="11"/>
        </w:numPr>
        <w:autoSpaceDE w:val="0"/>
        <w:autoSpaceDN w:val="0"/>
        <w:adjustRightInd w:val="0"/>
        <w:spacing w:after="80"/>
        <w:ind w:left="425" w:hanging="425"/>
        <w:jc w:val="both"/>
        <w:rPr>
          <w:rFonts w:ascii="Arial" w:eastAsia="Calibri" w:hAnsi="Arial" w:cs="Arial"/>
          <w:color w:val="000000"/>
          <w:sz w:val="23"/>
          <w:szCs w:val="24"/>
          <w:lang w:eastAsia="en-US"/>
        </w:rPr>
      </w:pPr>
      <w:r>
        <w:rPr>
          <w:rFonts w:ascii="Arial" w:eastAsia="Calibri" w:hAnsi="Arial" w:cs="Arial"/>
          <w:color w:val="000000"/>
          <w:sz w:val="23"/>
          <w:szCs w:val="24"/>
          <w:lang w:eastAsia="en-US"/>
        </w:rPr>
        <w:t>di introdurre alcune lavorazioni inizialmente non previste in progetto in termini di caratteristiche e quantità, come descritte dettagliatamente nella relazione tecnica, divenute in seguito necessarie (NP1, NP2, NP3; NP6; NP8; NP10), e nel dettaglio:</w:t>
      </w:r>
    </w:p>
    <w:p w:rsidR="00E81826" w:rsidRDefault="00E81826">
      <w:pPr>
        <w:spacing w:after="60"/>
        <w:jc w:val="both"/>
        <w:rPr>
          <w:rFonts w:ascii="Arial" w:eastAsia="Calibri" w:hAnsi="Arial" w:cs="Arial"/>
          <w:sz w:val="23"/>
          <w:szCs w:val="22"/>
          <w:lang w:eastAsia="en-US"/>
        </w:rPr>
      </w:pPr>
      <w:r>
        <w:rPr>
          <w:rFonts w:ascii="Arial" w:eastAsia="Calibri" w:hAnsi="Arial" w:cs="Arial"/>
          <w:b/>
          <w:sz w:val="23"/>
          <w:szCs w:val="22"/>
          <w:lang w:eastAsia="en-US"/>
        </w:rPr>
        <w:t>NP01.</w:t>
      </w:r>
      <w:r>
        <w:rPr>
          <w:rFonts w:ascii="Arial" w:eastAsia="Calibri" w:hAnsi="Arial" w:cs="Arial"/>
          <w:sz w:val="23"/>
          <w:szCs w:val="22"/>
          <w:lang w:eastAsia="en-US"/>
        </w:rPr>
        <w:t xml:space="preserve"> Le modifiche al progetto iniziale per l’installazione del ponteggio lato strada in struttura multidirezionale sono dovute alla volontà da parte della Stazione Appaltante di rispettare quanto più possibile le necessità dei fori commerciali in locazione siti al piano terra, specialmente in termini di visibilità dalla strada e di possibilità di accesso dalla stessa; </w:t>
      </w:r>
    </w:p>
    <w:p w:rsidR="00E81826" w:rsidRDefault="00E81826">
      <w:pPr>
        <w:spacing w:after="60"/>
        <w:jc w:val="both"/>
        <w:rPr>
          <w:rFonts w:ascii="Arial" w:eastAsia="Calibri" w:hAnsi="Arial" w:cs="Arial"/>
          <w:sz w:val="23"/>
          <w:szCs w:val="22"/>
          <w:lang w:eastAsia="en-US"/>
        </w:rPr>
      </w:pPr>
      <w:r>
        <w:rPr>
          <w:rFonts w:ascii="Arial" w:eastAsia="Calibri" w:hAnsi="Arial" w:cs="Arial"/>
          <w:b/>
          <w:sz w:val="23"/>
          <w:szCs w:val="22"/>
          <w:lang w:eastAsia="en-US"/>
        </w:rPr>
        <w:lastRenderedPageBreak/>
        <w:t>NP02.</w:t>
      </w:r>
      <w:r>
        <w:rPr>
          <w:rFonts w:ascii="Arial" w:eastAsia="Calibri" w:hAnsi="Arial" w:cs="Arial"/>
          <w:sz w:val="23"/>
          <w:szCs w:val="22"/>
          <w:lang w:eastAsia="en-US"/>
        </w:rPr>
        <w:t xml:space="preserve"> A seguito del prolungamento delle tempistiche originariamente previste, anche il noleggio della struttura multidirezionale ha subito le necessarie integrazioni; </w:t>
      </w:r>
    </w:p>
    <w:p w:rsidR="00E81826" w:rsidRDefault="00E81826">
      <w:pPr>
        <w:spacing w:after="60"/>
        <w:jc w:val="both"/>
        <w:rPr>
          <w:rFonts w:ascii="Arial" w:eastAsia="Calibri" w:hAnsi="Arial" w:cs="Arial"/>
          <w:sz w:val="23"/>
          <w:szCs w:val="22"/>
          <w:lang w:eastAsia="en-US"/>
        </w:rPr>
      </w:pPr>
      <w:r>
        <w:rPr>
          <w:rFonts w:ascii="Arial" w:eastAsia="Calibri" w:hAnsi="Arial" w:cs="Arial"/>
          <w:b/>
          <w:sz w:val="23"/>
          <w:szCs w:val="22"/>
          <w:lang w:eastAsia="en-US"/>
        </w:rPr>
        <w:t>NP03.</w:t>
      </w:r>
      <w:r>
        <w:rPr>
          <w:rFonts w:ascii="Arial" w:eastAsia="Calibri" w:hAnsi="Arial" w:cs="Arial"/>
          <w:sz w:val="23"/>
          <w:szCs w:val="22"/>
          <w:lang w:eastAsia="en-US"/>
        </w:rPr>
        <w:t xml:space="preserve"> A seguito delle demolizioni operate per rimuovere gli intonaci pericolanti ed ammalorati, è risultato che la situazione degli stessi, e quella dei decori, era maggiormente precaria rispetto a quanto previsto in progetto, anche a causa della presenza di materiali non idonei (presenza di guaine in facciata, di porzioni di intonaco a base cementizia, di reti metalliche a maglia larga); pertanto risulta necessaria una più ampia demolizione e ricostruzione degli intonaci stessi; </w:t>
      </w:r>
    </w:p>
    <w:p w:rsidR="00E81826" w:rsidRDefault="00E81826">
      <w:pPr>
        <w:spacing w:after="60"/>
        <w:jc w:val="both"/>
        <w:rPr>
          <w:rFonts w:ascii="Arial" w:eastAsia="Calibri" w:hAnsi="Arial" w:cs="Arial"/>
          <w:sz w:val="23"/>
          <w:szCs w:val="22"/>
          <w:lang w:eastAsia="en-US"/>
        </w:rPr>
      </w:pPr>
      <w:r>
        <w:rPr>
          <w:rFonts w:ascii="Arial" w:eastAsia="Calibri" w:hAnsi="Arial" w:cs="Arial"/>
          <w:b/>
          <w:sz w:val="23"/>
          <w:szCs w:val="22"/>
          <w:lang w:eastAsia="en-US"/>
        </w:rPr>
        <w:t>NP06.</w:t>
      </w:r>
      <w:r>
        <w:rPr>
          <w:rFonts w:ascii="Arial" w:eastAsia="Calibri" w:hAnsi="Arial" w:cs="Arial"/>
          <w:sz w:val="23"/>
          <w:szCs w:val="22"/>
          <w:lang w:eastAsia="en-US"/>
        </w:rPr>
        <w:t xml:space="preserve"> A seguito della rilevata presenza di impianti di condizionamento da dismettere e dal buono stato di conservazione del manto di copertura impermeabile, si prevede l’introduzione del nuovo prezzo comprensivo delle lavorazioni integrate in corso d’opera, ossia anche di una nuova impermeabilizzazione previo controllo ed adeguato fissaggio (anche chiodatura) dell’esistente; </w:t>
      </w:r>
    </w:p>
    <w:p w:rsidR="00E81826" w:rsidRDefault="00E81826">
      <w:pPr>
        <w:spacing w:after="60"/>
        <w:jc w:val="both"/>
        <w:rPr>
          <w:rFonts w:ascii="Arial" w:eastAsia="Calibri" w:hAnsi="Arial" w:cs="Arial"/>
          <w:sz w:val="23"/>
          <w:szCs w:val="22"/>
          <w:lang w:eastAsia="en-US"/>
        </w:rPr>
      </w:pPr>
      <w:r>
        <w:rPr>
          <w:rFonts w:ascii="Arial" w:eastAsia="Calibri" w:hAnsi="Arial" w:cs="Arial"/>
          <w:b/>
          <w:sz w:val="23"/>
          <w:szCs w:val="22"/>
          <w:lang w:eastAsia="en-US"/>
        </w:rPr>
        <w:t>NP08.</w:t>
      </w:r>
      <w:r>
        <w:rPr>
          <w:rFonts w:ascii="Arial" w:eastAsia="Calibri" w:hAnsi="Arial" w:cs="Arial"/>
          <w:sz w:val="23"/>
          <w:szCs w:val="22"/>
          <w:lang w:eastAsia="en-US"/>
        </w:rPr>
        <w:t xml:space="preserve"> A seguito della demolizione degli intonaci è emersa anche la problematica dei tiranti metallici posti in corrispondenza dei solai, ma non solo, che risultano sfogliati ed ossidati, e pertanto richiedono un trattamento specifico affinché tale problematica non prosegua e non vada ad inficiare la loro funzione per poi costringere ad interventi più rilevanti; </w:t>
      </w:r>
    </w:p>
    <w:p w:rsidR="00E81826" w:rsidRDefault="00E81826">
      <w:pPr>
        <w:spacing w:after="60"/>
        <w:jc w:val="both"/>
        <w:rPr>
          <w:rFonts w:ascii="Arial" w:eastAsia="Calibri" w:hAnsi="Arial" w:cs="Arial"/>
          <w:sz w:val="23"/>
          <w:szCs w:val="22"/>
          <w:lang w:eastAsia="en-US"/>
        </w:rPr>
      </w:pPr>
      <w:r>
        <w:rPr>
          <w:rFonts w:ascii="Arial" w:eastAsia="Calibri" w:hAnsi="Arial" w:cs="Arial"/>
          <w:b/>
          <w:sz w:val="23"/>
          <w:szCs w:val="22"/>
          <w:lang w:eastAsia="en-US"/>
        </w:rPr>
        <w:t xml:space="preserve">NP10. </w:t>
      </w:r>
      <w:r>
        <w:rPr>
          <w:rFonts w:ascii="Arial" w:eastAsia="Calibri" w:hAnsi="Arial" w:cs="Arial"/>
          <w:sz w:val="23"/>
          <w:szCs w:val="22"/>
          <w:lang w:eastAsia="en-US"/>
        </w:rPr>
        <w:t xml:space="preserve">A seguito di un sopralluogo di verifica, è stato constatato che la manutenzione integrale dei serramenti e degli avvolgibili del museo, collocati al secondo piano, comporterebbe un aumento di costi, e delle difficoltà in termini di logistica considerate non dilazionabili nel tempo; pertanto il nuovo prezzo considera questa lavorazione ridotta rispetto a quanto preventivato. </w:t>
      </w:r>
    </w:p>
    <w:p w:rsidR="00E81826" w:rsidRDefault="00E81826">
      <w:pPr>
        <w:numPr>
          <w:ilvl w:val="0"/>
          <w:numId w:val="11"/>
        </w:numPr>
        <w:spacing w:before="120"/>
        <w:ind w:left="425" w:hanging="425"/>
        <w:jc w:val="both"/>
        <w:rPr>
          <w:rFonts w:ascii="Arial" w:eastAsia="MS Mincho" w:hAnsi="Arial" w:cs="Arial"/>
          <w:sz w:val="23"/>
          <w:szCs w:val="24"/>
          <w:lang w:eastAsia="ja-JP"/>
        </w:rPr>
      </w:pPr>
      <w:r>
        <w:rPr>
          <w:rFonts w:ascii="Arial" w:eastAsia="MS Mincho" w:hAnsi="Arial" w:cs="Arial"/>
          <w:sz w:val="23"/>
          <w:szCs w:val="24"/>
          <w:lang w:eastAsia="ja-JP"/>
        </w:rPr>
        <w:t xml:space="preserve">inserire delle lavorazioni individuate quali migliorie tecniche e definite in fase di sopralluogo dei lavori dalla </w:t>
      </w:r>
      <w:r>
        <w:rPr>
          <w:rFonts w:ascii="Arial" w:eastAsia="Calibri" w:hAnsi="Arial" w:cs="Arial"/>
          <w:sz w:val="23"/>
          <w:szCs w:val="24"/>
          <w:lang w:eastAsia="en-US"/>
        </w:rPr>
        <w:t>Soprintendenza Archeologia Belle Arti e Paesaggio del Friuli Venezia Giulia, di seguito elencate e contraddistinte dai seguenti nuovi prezzi:</w:t>
      </w:r>
    </w:p>
    <w:p w:rsidR="00E81826" w:rsidRDefault="00E81826">
      <w:pPr>
        <w:spacing w:before="60" w:after="60"/>
        <w:jc w:val="both"/>
        <w:rPr>
          <w:rFonts w:ascii="Arial" w:eastAsia="Calibri" w:hAnsi="Arial" w:cs="Arial"/>
          <w:sz w:val="23"/>
          <w:szCs w:val="22"/>
          <w:lang w:eastAsia="en-US"/>
        </w:rPr>
      </w:pPr>
      <w:r>
        <w:rPr>
          <w:rFonts w:ascii="Arial" w:eastAsia="Calibri" w:hAnsi="Arial" w:cs="Arial"/>
          <w:b/>
          <w:sz w:val="23"/>
          <w:szCs w:val="22"/>
          <w:lang w:eastAsia="en-US"/>
        </w:rPr>
        <w:t>NP04.</w:t>
      </w:r>
      <w:r>
        <w:rPr>
          <w:rFonts w:ascii="Arial" w:eastAsia="Calibri" w:hAnsi="Arial" w:cs="Arial"/>
          <w:sz w:val="23"/>
          <w:szCs w:val="22"/>
          <w:lang w:eastAsia="en-US"/>
        </w:rPr>
        <w:t xml:space="preserve"> A seguito di confronto con la Soprintendenza Archeologia, Belle Arti e Paesaggio del Friuli Venezia Giulia, si è concordato un materiale in lamiera differente rispetto a quanto originariamente previsto per le opere in lamiera da eseguirsi sulle coperture; </w:t>
      </w:r>
    </w:p>
    <w:p w:rsidR="00E81826" w:rsidRDefault="00E81826">
      <w:pPr>
        <w:spacing w:after="60"/>
        <w:jc w:val="both"/>
        <w:rPr>
          <w:rFonts w:ascii="Arial" w:eastAsia="Calibri" w:hAnsi="Arial" w:cs="Arial"/>
          <w:sz w:val="23"/>
          <w:szCs w:val="22"/>
          <w:lang w:eastAsia="en-US"/>
        </w:rPr>
      </w:pPr>
      <w:r>
        <w:rPr>
          <w:rFonts w:ascii="Arial" w:eastAsia="Calibri" w:hAnsi="Arial" w:cs="Arial"/>
          <w:b/>
          <w:sz w:val="23"/>
          <w:szCs w:val="22"/>
          <w:lang w:eastAsia="en-US"/>
        </w:rPr>
        <w:t>NP05</w:t>
      </w:r>
      <w:r>
        <w:rPr>
          <w:rFonts w:ascii="Arial" w:eastAsia="Calibri" w:hAnsi="Arial" w:cs="Arial"/>
          <w:sz w:val="23"/>
          <w:szCs w:val="22"/>
          <w:lang w:eastAsia="en-US"/>
        </w:rPr>
        <w:t xml:space="preserve">. A seguito delle modifiche previste per il rivestimento di copertura, fanno seguito quelle inerenti gli elementi di dettaglio in lamiera (scossaline, grondaie, …), che utilizzeranno lo stesso materiale previsto per la copertura e concordato con la Soprintendenza; </w:t>
      </w:r>
    </w:p>
    <w:p w:rsidR="00E81826" w:rsidRDefault="00E81826">
      <w:pPr>
        <w:spacing w:after="60"/>
        <w:jc w:val="both"/>
        <w:rPr>
          <w:rFonts w:ascii="Arial" w:eastAsia="Calibri" w:hAnsi="Arial" w:cs="Arial"/>
          <w:sz w:val="23"/>
          <w:szCs w:val="22"/>
          <w:lang w:eastAsia="en-US"/>
        </w:rPr>
      </w:pPr>
      <w:r>
        <w:rPr>
          <w:rFonts w:ascii="Arial" w:eastAsia="Calibri" w:hAnsi="Arial" w:cs="Arial"/>
          <w:b/>
          <w:sz w:val="23"/>
          <w:szCs w:val="22"/>
          <w:lang w:eastAsia="en-US"/>
        </w:rPr>
        <w:t>NP07</w:t>
      </w:r>
      <w:r>
        <w:rPr>
          <w:rFonts w:ascii="Arial" w:eastAsia="Calibri" w:hAnsi="Arial" w:cs="Arial"/>
          <w:sz w:val="23"/>
          <w:szCs w:val="22"/>
          <w:lang w:eastAsia="en-US"/>
        </w:rPr>
        <w:t xml:space="preserve">. A seguito delle demolizioni degli intonaci è emersa la problematica, specialmente in corrispondenza degli spigoli dell’immobile più esposti agli agenti atmosferici, della presenza di murature con evidenti discontinuità dovute alla presenza di elementi lapidei ed in laterizio deteriorati che necessitano di lavorazione con metodo scuci-cuci per garantire un’adeguata funzione statica della muratura e di sostegno uniforme agli strati superiori e superficiali; </w:t>
      </w:r>
    </w:p>
    <w:p w:rsidR="00E81826" w:rsidRDefault="00E81826">
      <w:pPr>
        <w:spacing w:after="60"/>
        <w:jc w:val="both"/>
        <w:rPr>
          <w:rFonts w:ascii="Arial" w:eastAsia="Calibri" w:hAnsi="Arial" w:cs="Arial"/>
          <w:sz w:val="23"/>
          <w:szCs w:val="22"/>
          <w:lang w:eastAsia="en-US"/>
        </w:rPr>
      </w:pPr>
      <w:r>
        <w:rPr>
          <w:rFonts w:ascii="Arial" w:eastAsia="Calibri" w:hAnsi="Arial" w:cs="Arial"/>
          <w:b/>
          <w:sz w:val="23"/>
          <w:szCs w:val="22"/>
          <w:lang w:eastAsia="en-US"/>
        </w:rPr>
        <w:t>NP09.</w:t>
      </w:r>
      <w:r>
        <w:rPr>
          <w:rFonts w:ascii="Arial" w:eastAsia="Calibri" w:hAnsi="Arial" w:cs="Arial"/>
          <w:sz w:val="23"/>
          <w:szCs w:val="22"/>
          <w:lang w:eastAsia="en-US"/>
        </w:rPr>
        <w:t xml:space="preserve"> A seguito della demolizione degli intonaci pericolanti ed ammalorati, si è potuto verificare, durante un sopralluogo congiunto con la Soprintendenza, lo stato in cui versavano effettivamente i decori presenti in facciata: essi sono risultati per lo più cavi, realizzati a stampo fuori cantiere e poi montati, ed attualmente spesso privi di adeguato supporto ed ancoraggio alla muratura (che, peraltro, in alcuni punti risulta ammalorata essa stessa), e pertanto ne viene proposta soluzione; </w:t>
      </w:r>
    </w:p>
    <w:p w:rsidR="00E81826" w:rsidRDefault="00E81826">
      <w:pPr>
        <w:spacing w:before="60" w:after="160" w:line="259" w:lineRule="auto"/>
        <w:jc w:val="both"/>
        <w:rPr>
          <w:rFonts w:ascii="Calibri" w:eastAsia="Calibri" w:hAnsi="Calibri"/>
          <w:sz w:val="23"/>
          <w:szCs w:val="24"/>
          <w:lang w:eastAsia="en-US"/>
        </w:rPr>
      </w:pPr>
      <w:r>
        <w:rPr>
          <w:rFonts w:ascii="Arial" w:eastAsia="MS Mincho" w:hAnsi="Arial" w:cs="Arial"/>
          <w:sz w:val="23"/>
          <w:szCs w:val="24"/>
          <w:lang w:eastAsia="ja-JP"/>
        </w:rPr>
        <w:t>Tutto ciò premesso, r</w:t>
      </w:r>
      <w:r>
        <w:rPr>
          <w:rFonts w:ascii="Arial" w:eastAsia="Calibri" w:hAnsi="Arial" w:cs="Arial"/>
          <w:bCs/>
          <w:color w:val="000000"/>
          <w:sz w:val="23"/>
          <w:szCs w:val="24"/>
          <w:lang w:eastAsia="en-US"/>
        </w:rPr>
        <w:t xml:space="preserve">itenuto </w:t>
      </w:r>
      <w:r>
        <w:rPr>
          <w:rFonts w:ascii="Arial" w:eastAsia="Calibri" w:hAnsi="Arial" w:cs="Arial"/>
          <w:color w:val="000000"/>
          <w:sz w:val="23"/>
          <w:szCs w:val="24"/>
          <w:lang w:eastAsia="en-US"/>
        </w:rPr>
        <w:t>opportuno procedere all’approvazione della perizia di variante proposta per consentire la realizzazione delle modificazioni progettuali meglio descritte in perizia;</w:t>
      </w:r>
    </w:p>
    <w:p w:rsidR="00E81826" w:rsidRDefault="00E81826">
      <w:pPr>
        <w:spacing w:after="120"/>
        <w:jc w:val="both"/>
        <w:rPr>
          <w:rFonts w:ascii="Arial" w:eastAsia="MS Mincho" w:hAnsi="Arial" w:cs="Arial"/>
          <w:sz w:val="23"/>
          <w:szCs w:val="24"/>
          <w:lang w:eastAsia="en-US"/>
        </w:rPr>
      </w:pPr>
      <w:r>
        <w:rPr>
          <w:rFonts w:ascii="Arial" w:eastAsia="Calibri" w:hAnsi="Arial" w:cs="Arial"/>
          <w:bCs/>
          <w:sz w:val="23"/>
          <w:szCs w:val="24"/>
          <w:lang w:eastAsia="en-US"/>
        </w:rPr>
        <w:lastRenderedPageBreak/>
        <w:t>Richiamati gli artt. 132, comma 1, lettera c) e 205, comma 1 del D</w:t>
      </w:r>
      <w:r>
        <w:rPr>
          <w:rFonts w:ascii="Arial" w:eastAsia="Calibri" w:hAnsi="Arial" w:cs="Arial"/>
          <w:bCs/>
          <w:color w:val="000000"/>
          <w:sz w:val="23"/>
          <w:szCs w:val="24"/>
          <w:lang w:eastAsia="en-US"/>
        </w:rPr>
        <w:t>.Lgs. n. 163/2006 e dell’art. 161 del DPR n. 207/2010 applicabili ratione temporis ai sensi dell’art. 216 del D.Lgs n. 50/2016;</w:t>
      </w:r>
    </w:p>
    <w:p w:rsidR="00E81826" w:rsidRDefault="00E81826">
      <w:pPr>
        <w:spacing w:after="120"/>
        <w:jc w:val="both"/>
        <w:rPr>
          <w:rFonts w:ascii="Arial" w:eastAsia="Calibri" w:hAnsi="Arial" w:cs="Arial"/>
          <w:sz w:val="23"/>
          <w:szCs w:val="24"/>
          <w:lang w:eastAsia="en-US"/>
        </w:rPr>
      </w:pPr>
      <w:r>
        <w:rPr>
          <w:rFonts w:ascii="Arial" w:eastAsia="Calibri" w:hAnsi="Arial" w:cs="Arial"/>
          <w:bCs/>
          <w:sz w:val="23"/>
          <w:szCs w:val="24"/>
          <w:lang w:eastAsia="en-US"/>
        </w:rPr>
        <w:t>Dato atto</w:t>
      </w:r>
      <w:r>
        <w:rPr>
          <w:rFonts w:ascii="Arial" w:eastAsia="Calibri" w:hAnsi="Arial" w:cs="Arial"/>
          <w:b/>
          <w:bCs/>
          <w:sz w:val="23"/>
          <w:szCs w:val="24"/>
          <w:lang w:eastAsia="en-US"/>
        </w:rPr>
        <w:t xml:space="preserve"> </w:t>
      </w:r>
      <w:r>
        <w:rPr>
          <w:rFonts w:ascii="Arial" w:eastAsia="Calibri" w:hAnsi="Arial" w:cs="Arial"/>
          <w:sz w:val="23"/>
          <w:szCs w:val="24"/>
          <w:lang w:eastAsia="en-US"/>
        </w:rPr>
        <w:t>che per effetto della modifica introdotta ai lavori, l’importo contrattuale netto passa da Euro 1.522.763,70</w:t>
      </w:r>
      <w:r>
        <w:rPr>
          <w:rFonts w:ascii="Arial" w:eastAsia="Calibri" w:hAnsi="Arial" w:cs="Arial"/>
          <w:color w:val="FF0000"/>
          <w:sz w:val="23"/>
          <w:szCs w:val="24"/>
          <w:lang w:eastAsia="en-US"/>
        </w:rPr>
        <w:t xml:space="preserve"> </w:t>
      </w:r>
      <w:r>
        <w:rPr>
          <w:rFonts w:ascii="Arial" w:eastAsia="Calibri" w:hAnsi="Arial" w:cs="Arial"/>
          <w:sz w:val="23"/>
          <w:szCs w:val="24"/>
          <w:lang w:eastAsia="en-US"/>
        </w:rPr>
        <w:t>(oltre a oneri per la sicurezza di Euro 80.501,00) ad Euro 1.702.003,09 (oltre a oneri per la sicurezza di Euro 90.035,96) e quindi con un aumento pari ad Euro 179.239,39 sull’importo dei lavori; pertanto con un aumento percentuale pari al 11,771%;</w:t>
      </w:r>
    </w:p>
    <w:p w:rsidR="00E81826" w:rsidRDefault="00E81826">
      <w:pPr>
        <w:spacing w:after="120"/>
        <w:jc w:val="both"/>
        <w:rPr>
          <w:rFonts w:ascii="Arial" w:eastAsia="Calibri" w:hAnsi="Arial" w:cs="Arial"/>
          <w:sz w:val="23"/>
          <w:szCs w:val="24"/>
          <w:lang w:eastAsia="en-US"/>
        </w:rPr>
      </w:pPr>
      <w:r>
        <w:rPr>
          <w:rFonts w:ascii="Arial" w:eastAsia="Calibri" w:hAnsi="Arial" w:cs="Arial"/>
          <w:sz w:val="23"/>
          <w:szCs w:val="24"/>
          <w:lang w:eastAsia="en-US"/>
        </w:rPr>
        <w:t>Visto l’atto di sottomissione sottoscritto dal Rappresentante Legale dell'Impresa, dalla D.L. e dal RUP, dal quale emerge che l’appaltatore si è impegnato ad eseguire i lavori variati e le nuove categorie di lavoro contemplate agli stessi patti e condizioni del contratto principale, prevedendo un ulteriore proroga dei termini contrattuali pari a 434 giorni naturali consecutivi (il tempo utile fissato dal contratto per l’ultimazione dei lavori passa da 375 giorni a 809 giorni complessivi) e il concordamento di 10 nuovi prezzi;</w:t>
      </w:r>
    </w:p>
    <w:p w:rsidR="00E81826" w:rsidRDefault="00E81826">
      <w:pPr>
        <w:autoSpaceDE w:val="0"/>
        <w:autoSpaceDN w:val="0"/>
        <w:adjustRightInd w:val="0"/>
        <w:spacing w:before="120" w:after="40"/>
        <w:jc w:val="both"/>
        <w:rPr>
          <w:rFonts w:ascii="Arial" w:eastAsia="Calibri" w:hAnsi="Arial" w:cs="Arial"/>
          <w:color w:val="000000"/>
          <w:sz w:val="23"/>
          <w:szCs w:val="24"/>
          <w:lang w:eastAsia="en-US"/>
        </w:rPr>
      </w:pPr>
      <w:r>
        <w:rPr>
          <w:rFonts w:ascii="Arial" w:eastAsia="Calibri" w:hAnsi="Arial" w:cs="Arial"/>
          <w:bCs/>
          <w:color w:val="000000"/>
          <w:sz w:val="23"/>
          <w:szCs w:val="24"/>
          <w:lang w:eastAsia="en-US"/>
        </w:rPr>
        <w:t>Preso atto che:</w:t>
      </w:r>
    </w:p>
    <w:p w:rsidR="00E81826" w:rsidRDefault="00E81826">
      <w:pPr>
        <w:numPr>
          <w:ilvl w:val="0"/>
          <w:numId w:val="3"/>
        </w:numPr>
        <w:autoSpaceDE w:val="0"/>
        <w:autoSpaceDN w:val="0"/>
        <w:adjustRightInd w:val="0"/>
        <w:spacing w:before="40" w:after="40"/>
        <w:ind w:left="284" w:hanging="284"/>
        <w:jc w:val="both"/>
        <w:rPr>
          <w:rFonts w:ascii="Arial" w:eastAsia="Calibri" w:hAnsi="Arial" w:cs="Arial"/>
          <w:color w:val="000000"/>
          <w:sz w:val="23"/>
          <w:szCs w:val="24"/>
          <w:lang w:eastAsia="en-US"/>
        </w:rPr>
      </w:pPr>
      <w:r>
        <w:rPr>
          <w:rFonts w:ascii="Arial" w:eastAsia="Calibri" w:hAnsi="Arial" w:cs="Arial"/>
          <w:color w:val="000000"/>
          <w:sz w:val="23"/>
          <w:szCs w:val="24"/>
          <w:lang w:eastAsia="en-US"/>
        </w:rPr>
        <w:t xml:space="preserve">il Responsabile Unico del Procedimento è il geom. Massimo Cicigoi, il quale a seguito di istruttoria e di motivato esame dei fatti, ha proceduto all’accertamento delle cause, delle condizioni e dei presupposti che consentono di disporre la perizia suppletiva e di variante; </w:t>
      </w:r>
    </w:p>
    <w:p w:rsidR="00E81826" w:rsidRDefault="00E81826">
      <w:pPr>
        <w:numPr>
          <w:ilvl w:val="0"/>
          <w:numId w:val="3"/>
        </w:numPr>
        <w:autoSpaceDE w:val="0"/>
        <w:autoSpaceDN w:val="0"/>
        <w:adjustRightInd w:val="0"/>
        <w:spacing w:before="40" w:after="160" w:line="259" w:lineRule="auto"/>
        <w:ind w:left="284" w:hanging="284"/>
        <w:jc w:val="both"/>
        <w:rPr>
          <w:rFonts w:ascii="Arial" w:eastAsia="Calibri" w:hAnsi="Arial" w:cs="Arial"/>
          <w:color w:val="000000"/>
          <w:sz w:val="23"/>
          <w:szCs w:val="24"/>
          <w:lang w:eastAsia="en-US"/>
        </w:rPr>
      </w:pPr>
      <w:r>
        <w:rPr>
          <w:rFonts w:ascii="Arial" w:eastAsia="Calibri" w:hAnsi="Arial" w:cs="Arial"/>
          <w:color w:val="000000"/>
          <w:sz w:val="23"/>
          <w:szCs w:val="24"/>
          <w:lang w:eastAsia="en-US"/>
        </w:rPr>
        <w:t xml:space="preserve">l’entità della perizia di variante non comporta una variazione della spesa complessiva originariamente prevista, ma solo una variata distribuzione della stessa </w:t>
      </w:r>
      <w:r>
        <w:rPr>
          <w:rFonts w:ascii="Arial" w:eastAsia="Calibri" w:hAnsi="Arial" w:cs="Arial"/>
          <w:sz w:val="23"/>
          <w:szCs w:val="24"/>
          <w:lang w:eastAsia="en-US"/>
        </w:rPr>
        <w:t>come riportato nel seguente quadro di raffronto,</w:t>
      </w:r>
      <w:r>
        <w:rPr>
          <w:rFonts w:ascii="Arial" w:eastAsia="Calibri" w:hAnsi="Arial" w:cs="Arial"/>
          <w:color w:val="000000"/>
          <w:sz w:val="23"/>
          <w:szCs w:val="24"/>
          <w:lang w:eastAsia="en-US"/>
        </w:rPr>
        <w:t xml:space="preserve"> ed un aumento dell’importo contrattuale netto di Euro </w:t>
      </w:r>
      <w:r>
        <w:rPr>
          <w:rFonts w:ascii="Arial" w:eastAsia="Calibri" w:hAnsi="Arial" w:cs="Arial"/>
          <w:sz w:val="23"/>
          <w:szCs w:val="24"/>
          <w:lang w:eastAsia="en-US"/>
        </w:rPr>
        <w:t xml:space="preserve">179.239,39 </w:t>
      </w:r>
      <w:r>
        <w:rPr>
          <w:rFonts w:ascii="Arial" w:eastAsia="Calibri" w:hAnsi="Arial" w:cs="Arial"/>
          <w:color w:val="000000"/>
          <w:sz w:val="23"/>
          <w:szCs w:val="24"/>
          <w:lang w:eastAsia="en-US"/>
        </w:rPr>
        <w:t>pari al 11.771% in aumento rispetto all’importo contrattuale netto di aggiudicazione:</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842"/>
        <w:gridCol w:w="2127"/>
        <w:gridCol w:w="1984"/>
      </w:tblGrid>
      <w:tr w:rsidR="00E81826">
        <w:trPr>
          <w:trHeight w:val="232"/>
        </w:trPr>
        <w:tc>
          <w:tcPr>
            <w:tcW w:w="426" w:type="dxa"/>
            <w:vAlign w:val="center"/>
          </w:tcPr>
          <w:p w:rsidR="00E81826" w:rsidRDefault="00E81826">
            <w:pPr>
              <w:jc w:val="center"/>
              <w:rPr>
                <w:b/>
                <w:bCs/>
              </w:rPr>
            </w:pPr>
          </w:p>
        </w:tc>
        <w:tc>
          <w:tcPr>
            <w:tcW w:w="3402" w:type="dxa"/>
            <w:tcBorders>
              <w:bottom w:val="single" w:sz="4" w:space="0" w:color="auto"/>
            </w:tcBorders>
            <w:vAlign w:val="center"/>
          </w:tcPr>
          <w:p w:rsidR="00E81826" w:rsidRDefault="00E81826">
            <w:pPr>
              <w:jc w:val="center"/>
              <w:rPr>
                <w:b/>
                <w:bCs/>
              </w:rPr>
            </w:pPr>
          </w:p>
        </w:tc>
        <w:tc>
          <w:tcPr>
            <w:tcW w:w="1842" w:type="dxa"/>
            <w:tcBorders>
              <w:bottom w:val="single" w:sz="4" w:space="0" w:color="auto"/>
            </w:tcBorders>
            <w:vAlign w:val="center"/>
          </w:tcPr>
          <w:p w:rsidR="00E81826" w:rsidRDefault="00E81826">
            <w:pPr>
              <w:jc w:val="center"/>
              <w:rPr>
                <w:b/>
                <w:bCs/>
              </w:rPr>
            </w:pPr>
            <w:r>
              <w:rPr>
                <w:b/>
                <w:bCs/>
              </w:rPr>
              <w:t>PROGETTO ESECUTIVO</w:t>
            </w:r>
          </w:p>
        </w:tc>
        <w:tc>
          <w:tcPr>
            <w:tcW w:w="2127" w:type="dxa"/>
            <w:tcBorders>
              <w:bottom w:val="single" w:sz="4" w:space="0" w:color="auto"/>
            </w:tcBorders>
            <w:vAlign w:val="center"/>
          </w:tcPr>
          <w:p w:rsidR="00E81826" w:rsidRDefault="00E81826">
            <w:pPr>
              <w:jc w:val="center"/>
              <w:rPr>
                <w:b/>
                <w:bCs/>
              </w:rPr>
            </w:pPr>
            <w:r>
              <w:rPr>
                <w:b/>
                <w:bCs/>
              </w:rPr>
              <w:t>RIMODULAZIONE QUADRO ECONOMICO N. 1</w:t>
            </w:r>
          </w:p>
        </w:tc>
        <w:tc>
          <w:tcPr>
            <w:tcW w:w="1984" w:type="dxa"/>
            <w:tcBorders>
              <w:bottom w:val="single" w:sz="4" w:space="0" w:color="auto"/>
            </w:tcBorders>
            <w:vAlign w:val="center"/>
          </w:tcPr>
          <w:p w:rsidR="00E81826" w:rsidRDefault="00E81826">
            <w:pPr>
              <w:jc w:val="center"/>
              <w:rPr>
                <w:b/>
                <w:bCs/>
              </w:rPr>
            </w:pPr>
            <w:r>
              <w:rPr>
                <w:b/>
                <w:bCs/>
              </w:rPr>
              <w:t>PERIZIA SUPPLETIVA E DI VARIANTE N. 1</w:t>
            </w:r>
          </w:p>
        </w:tc>
      </w:tr>
      <w:tr w:rsidR="00E81826">
        <w:trPr>
          <w:trHeight w:val="244"/>
        </w:trPr>
        <w:tc>
          <w:tcPr>
            <w:tcW w:w="426" w:type="dxa"/>
          </w:tcPr>
          <w:p w:rsidR="00E81826" w:rsidRDefault="00E81826">
            <w:pPr>
              <w:jc w:val="both"/>
              <w:rPr>
                <w:b/>
                <w:bCs/>
                <w:sz w:val="23"/>
                <w:szCs w:val="22"/>
              </w:rPr>
            </w:pPr>
            <w:r>
              <w:rPr>
                <w:b/>
                <w:bCs/>
                <w:sz w:val="23"/>
                <w:szCs w:val="22"/>
              </w:rPr>
              <w:t>A</w:t>
            </w:r>
          </w:p>
        </w:tc>
        <w:tc>
          <w:tcPr>
            <w:tcW w:w="3402" w:type="dxa"/>
            <w:tcBorders>
              <w:right w:val="nil"/>
            </w:tcBorders>
          </w:tcPr>
          <w:p w:rsidR="00E81826" w:rsidRDefault="00E81826">
            <w:pPr>
              <w:jc w:val="both"/>
              <w:rPr>
                <w:b/>
                <w:bCs/>
                <w:sz w:val="23"/>
                <w:szCs w:val="22"/>
              </w:rPr>
            </w:pPr>
            <w:r>
              <w:rPr>
                <w:b/>
                <w:bCs/>
                <w:sz w:val="23"/>
                <w:szCs w:val="22"/>
              </w:rPr>
              <w:t>Lavori</w:t>
            </w:r>
          </w:p>
        </w:tc>
        <w:tc>
          <w:tcPr>
            <w:tcW w:w="1842" w:type="dxa"/>
            <w:tcBorders>
              <w:left w:val="nil"/>
              <w:right w:val="nil"/>
            </w:tcBorders>
          </w:tcPr>
          <w:p w:rsidR="00E81826" w:rsidRDefault="00E81826">
            <w:pPr>
              <w:jc w:val="both"/>
              <w:rPr>
                <w:b/>
                <w:bCs/>
                <w:sz w:val="23"/>
                <w:szCs w:val="22"/>
              </w:rPr>
            </w:pPr>
          </w:p>
        </w:tc>
        <w:tc>
          <w:tcPr>
            <w:tcW w:w="2127" w:type="dxa"/>
            <w:tcBorders>
              <w:left w:val="nil"/>
              <w:right w:val="nil"/>
            </w:tcBorders>
          </w:tcPr>
          <w:p w:rsidR="00E81826" w:rsidRDefault="00E81826">
            <w:pPr>
              <w:jc w:val="both"/>
              <w:rPr>
                <w:b/>
                <w:bCs/>
                <w:sz w:val="23"/>
                <w:szCs w:val="22"/>
              </w:rPr>
            </w:pPr>
          </w:p>
        </w:tc>
        <w:tc>
          <w:tcPr>
            <w:tcW w:w="1984" w:type="dxa"/>
            <w:tcBorders>
              <w:left w:val="nil"/>
            </w:tcBorders>
          </w:tcPr>
          <w:p w:rsidR="00E81826" w:rsidRDefault="00E81826">
            <w:pPr>
              <w:jc w:val="both"/>
              <w:rPr>
                <w:b/>
                <w:bCs/>
                <w:sz w:val="23"/>
                <w:szCs w:val="22"/>
              </w:rPr>
            </w:pPr>
          </w:p>
        </w:tc>
      </w:tr>
      <w:tr w:rsidR="00E81826">
        <w:trPr>
          <w:trHeight w:val="232"/>
        </w:trPr>
        <w:tc>
          <w:tcPr>
            <w:tcW w:w="426" w:type="dxa"/>
          </w:tcPr>
          <w:p w:rsidR="00E81826" w:rsidRDefault="00E81826">
            <w:pPr>
              <w:rPr>
                <w:bCs/>
                <w:sz w:val="23"/>
                <w:szCs w:val="22"/>
              </w:rPr>
            </w:pPr>
            <w:r>
              <w:rPr>
                <w:bCs/>
                <w:sz w:val="23"/>
                <w:szCs w:val="22"/>
              </w:rPr>
              <w:t>1</w:t>
            </w:r>
          </w:p>
        </w:tc>
        <w:tc>
          <w:tcPr>
            <w:tcW w:w="3402" w:type="dxa"/>
          </w:tcPr>
          <w:p w:rsidR="00E81826" w:rsidRDefault="00E81826">
            <w:pPr>
              <w:rPr>
                <w:b/>
                <w:bCs/>
                <w:sz w:val="23"/>
                <w:szCs w:val="22"/>
              </w:rPr>
            </w:pPr>
            <w:r>
              <w:rPr>
                <w:bCs/>
                <w:sz w:val="23"/>
                <w:szCs w:val="22"/>
              </w:rPr>
              <w:t>Opere edili</w:t>
            </w:r>
          </w:p>
        </w:tc>
        <w:tc>
          <w:tcPr>
            <w:tcW w:w="1842" w:type="dxa"/>
          </w:tcPr>
          <w:p w:rsidR="00E81826" w:rsidRDefault="00E81826">
            <w:pPr>
              <w:jc w:val="both"/>
              <w:rPr>
                <w:b/>
                <w:bCs/>
                <w:sz w:val="23"/>
                <w:szCs w:val="22"/>
              </w:rPr>
            </w:pPr>
            <w:r>
              <w:rPr>
                <w:bCs/>
                <w:sz w:val="23"/>
                <w:szCs w:val="22"/>
              </w:rPr>
              <w:t>€     1.522.763,70</w:t>
            </w:r>
          </w:p>
        </w:tc>
        <w:tc>
          <w:tcPr>
            <w:tcW w:w="2127" w:type="dxa"/>
          </w:tcPr>
          <w:p w:rsidR="00E81826" w:rsidRDefault="00E81826">
            <w:pPr>
              <w:jc w:val="both"/>
              <w:rPr>
                <w:b/>
                <w:bCs/>
                <w:sz w:val="23"/>
                <w:szCs w:val="22"/>
              </w:rPr>
            </w:pPr>
            <w:r>
              <w:rPr>
                <w:bCs/>
                <w:sz w:val="23"/>
                <w:szCs w:val="22"/>
              </w:rPr>
              <w:t>€          1.522.763,70</w:t>
            </w:r>
          </w:p>
        </w:tc>
        <w:tc>
          <w:tcPr>
            <w:tcW w:w="1984" w:type="dxa"/>
          </w:tcPr>
          <w:p w:rsidR="00E81826" w:rsidRDefault="00E81826">
            <w:pPr>
              <w:jc w:val="both"/>
              <w:rPr>
                <w:b/>
                <w:bCs/>
                <w:sz w:val="23"/>
                <w:szCs w:val="22"/>
              </w:rPr>
            </w:pPr>
            <w:r>
              <w:rPr>
                <w:bCs/>
                <w:sz w:val="23"/>
                <w:szCs w:val="22"/>
              </w:rPr>
              <w:t>€       1.702.003,09</w:t>
            </w:r>
          </w:p>
        </w:tc>
      </w:tr>
      <w:tr w:rsidR="00E81826">
        <w:trPr>
          <w:trHeight w:val="244"/>
        </w:trPr>
        <w:tc>
          <w:tcPr>
            <w:tcW w:w="426" w:type="dxa"/>
          </w:tcPr>
          <w:p w:rsidR="00E81826" w:rsidRDefault="00E81826">
            <w:pPr>
              <w:jc w:val="both"/>
              <w:rPr>
                <w:bCs/>
                <w:sz w:val="23"/>
                <w:szCs w:val="22"/>
              </w:rPr>
            </w:pPr>
            <w:r>
              <w:rPr>
                <w:bCs/>
                <w:sz w:val="23"/>
                <w:szCs w:val="22"/>
              </w:rPr>
              <w:t>2</w:t>
            </w:r>
          </w:p>
        </w:tc>
        <w:tc>
          <w:tcPr>
            <w:tcW w:w="3402" w:type="dxa"/>
          </w:tcPr>
          <w:p w:rsidR="00E81826" w:rsidRDefault="00E81826">
            <w:pPr>
              <w:jc w:val="both"/>
              <w:rPr>
                <w:b/>
                <w:bCs/>
                <w:sz w:val="23"/>
                <w:szCs w:val="22"/>
              </w:rPr>
            </w:pPr>
            <w:r>
              <w:rPr>
                <w:bCs/>
                <w:sz w:val="23"/>
                <w:szCs w:val="22"/>
              </w:rPr>
              <w:t>Opere per la sicurezza</w:t>
            </w:r>
          </w:p>
        </w:tc>
        <w:tc>
          <w:tcPr>
            <w:tcW w:w="1842" w:type="dxa"/>
          </w:tcPr>
          <w:p w:rsidR="00E81826" w:rsidRDefault="00E81826">
            <w:pPr>
              <w:jc w:val="both"/>
              <w:rPr>
                <w:b/>
                <w:bCs/>
                <w:sz w:val="23"/>
                <w:szCs w:val="22"/>
              </w:rPr>
            </w:pPr>
            <w:r>
              <w:rPr>
                <w:bCs/>
                <w:sz w:val="23"/>
                <w:szCs w:val="22"/>
              </w:rPr>
              <w:t>€          80.501,00</w:t>
            </w:r>
          </w:p>
        </w:tc>
        <w:tc>
          <w:tcPr>
            <w:tcW w:w="2127" w:type="dxa"/>
          </w:tcPr>
          <w:p w:rsidR="00E81826" w:rsidRDefault="00E81826">
            <w:pPr>
              <w:jc w:val="both"/>
              <w:rPr>
                <w:b/>
                <w:bCs/>
                <w:sz w:val="23"/>
                <w:szCs w:val="22"/>
              </w:rPr>
            </w:pPr>
            <w:r>
              <w:rPr>
                <w:bCs/>
                <w:sz w:val="23"/>
                <w:szCs w:val="22"/>
              </w:rPr>
              <w:t>€               80.501,00</w:t>
            </w:r>
          </w:p>
        </w:tc>
        <w:tc>
          <w:tcPr>
            <w:tcW w:w="1984" w:type="dxa"/>
          </w:tcPr>
          <w:p w:rsidR="00E81826" w:rsidRDefault="00E81826">
            <w:pPr>
              <w:jc w:val="both"/>
              <w:rPr>
                <w:b/>
                <w:bCs/>
                <w:sz w:val="23"/>
                <w:szCs w:val="22"/>
              </w:rPr>
            </w:pPr>
            <w:r>
              <w:rPr>
                <w:bCs/>
                <w:sz w:val="23"/>
                <w:szCs w:val="22"/>
              </w:rPr>
              <w:t>€            90.035,96</w:t>
            </w:r>
          </w:p>
        </w:tc>
      </w:tr>
      <w:tr w:rsidR="00E81826">
        <w:trPr>
          <w:trHeight w:val="244"/>
        </w:trPr>
        <w:tc>
          <w:tcPr>
            <w:tcW w:w="426" w:type="dxa"/>
            <w:tcBorders>
              <w:bottom w:val="single" w:sz="4" w:space="0" w:color="auto"/>
            </w:tcBorders>
          </w:tcPr>
          <w:p w:rsidR="00E81826" w:rsidRDefault="00E81826">
            <w:pPr>
              <w:jc w:val="both"/>
              <w:rPr>
                <w:b/>
                <w:bCs/>
                <w:sz w:val="23"/>
                <w:szCs w:val="22"/>
              </w:rPr>
            </w:pPr>
          </w:p>
        </w:tc>
        <w:tc>
          <w:tcPr>
            <w:tcW w:w="3402" w:type="dxa"/>
            <w:tcBorders>
              <w:bottom w:val="single" w:sz="4" w:space="0" w:color="auto"/>
            </w:tcBorders>
          </w:tcPr>
          <w:p w:rsidR="00E81826" w:rsidRDefault="00E81826">
            <w:pPr>
              <w:jc w:val="both"/>
              <w:rPr>
                <w:b/>
                <w:bCs/>
                <w:sz w:val="23"/>
                <w:szCs w:val="22"/>
              </w:rPr>
            </w:pPr>
            <w:r>
              <w:rPr>
                <w:b/>
                <w:bCs/>
                <w:sz w:val="23"/>
                <w:szCs w:val="22"/>
              </w:rPr>
              <w:t>Totale A</w:t>
            </w:r>
          </w:p>
        </w:tc>
        <w:tc>
          <w:tcPr>
            <w:tcW w:w="1842" w:type="dxa"/>
            <w:tcBorders>
              <w:bottom w:val="single" w:sz="4" w:space="0" w:color="auto"/>
            </w:tcBorders>
          </w:tcPr>
          <w:p w:rsidR="00E81826" w:rsidRDefault="00E81826">
            <w:pPr>
              <w:jc w:val="both"/>
              <w:rPr>
                <w:b/>
                <w:bCs/>
                <w:sz w:val="23"/>
                <w:szCs w:val="22"/>
              </w:rPr>
            </w:pPr>
            <w:r>
              <w:rPr>
                <w:bCs/>
                <w:sz w:val="23"/>
                <w:szCs w:val="22"/>
              </w:rPr>
              <w:t>€     1.603.264,70</w:t>
            </w:r>
          </w:p>
        </w:tc>
        <w:tc>
          <w:tcPr>
            <w:tcW w:w="2127" w:type="dxa"/>
            <w:tcBorders>
              <w:bottom w:val="single" w:sz="4" w:space="0" w:color="auto"/>
            </w:tcBorders>
          </w:tcPr>
          <w:p w:rsidR="00E81826" w:rsidRDefault="00E81826">
            <w:pPr>
              <w:jc w:val="both"/>
              <w:rPr>
                <w:b/>
                <w:bCs/>
                <w:sz w:val="23"/>
                <w:szCs w:val="22"/>
              </w:rPr>
            </w:pPr>
            <w:r>
              <w:rPr>
                <w:bCs/>
                <w:sz w:val="23"/>
                <w:szCs w:val="22"/>
              </w:rPr>
              <w:t>€          1.603.264,70</w:t>
            </w:r>
          </w:p>
        </w:tc>
        <w:tc>
          <w:tcPr>
            <w:tcW w:w="1984" w:type="dxa"/>
            <w:tcBorders>
              <w:bottom w:val="single" w:sz="4" w:space="0" w:color="auto"/>
            </w:tcBorders>
          </w:tcPr>
          <w:p w:rsidR="00E81826" w:rsidRDefault="00E81826">
            <w:pPr>
              <w:jc w:val="both"/>
              <w:rPr>
                <w:b/>
                <w:bCs/>
                <w:sz w:val="23"/>
                <w:szCs w:val="22"/>
              </w:rPr>
            </w:pPr>
            <w:r>
              <w:rPr>
                <w:bCs/>
                <w:sz w:val="23"/>
                <w:szCs w:val="22"/>
              </w:rPr>
              <w:t>€       1.792.039,05</w:t>
            </w:r>
          </w:p>
        </w:tc>
      </w:tr>
      <w:tr w:rsidR="00E81826">
        <w:trPr>
          <w:trHeight w:val="244"/>
        </w:trPr>
        <w:tc>
          <w:tcPr>
            <w:tcW w:w="426" w:type="dxa"/>
            <w:tcBorders>
              <w:right w:val="nil"/>
            </w:tcBorders>
          </w:tcPr>
          <w:p w:rsidR="00E81826" w:rsidRDefault="00E81826">
            <w:pPr>
              <w:jc w:val="both"/>
              <w:rPr>
                <w:b/>
                <w:bCs/>
                <w:sz w:val="23"/>
                <w:szCs w:val="22"/>
              </w:rPr>
            </w:pPr>
          </w:p>
        </w:tc>
        <w:tc>
          <w:tcPr>
            <w:tcW w:w="3402" w:type="dxa"/>
            <w:tcBorders>
              <w:left w:val="nil"/>
              <w:bottom w:val="single" w:sz="4" w:space="0" w:color="auto"/>
              <w:right w:val="nil"/>
            </w:tcBorders>
          </w:tcPr>
          <w:p w:rsidR="00E81826" w:rsidRDefault="00E81826">
            <w:pPr>
              <w:jc w:val="both"/>
              <w:rPr>
                <w:b/>
                <w:bCs/>
                <w:sz w:val="23"/>
                <w:szCs w:val="22"/>
              </w:rPr>
            </w:pPr>
          </w:p>
        </w:tc>
        <w:tc>
          <w:tcPr>
            <w:tcW w:w="1842" w:type="dxa"/>
            <w:tcBorders>
              <w:left w:val="nil"/>
              <w:bottom w:val="single" w:sz="4" w:space="0" w:color="auto"/>
              <w:right w:val="nil"/>
            </w:tcBorders>
          </w:tcPr>
          <w:p w:rsidR="00E81826" w:rsidRDefault="00E81826">
            <w:pPr>
              <w:jc w:val="both"/>
              <w:rPr>
                <w:b/>
                <w:bCs/>
                <w:sz w:val="23"/>
                <w:szCs w:val="22"/>
              </w:rPr>
            </w:pPr>
          </w:p>
        </w:tc>
        <w:tc>
          <w:tcPr>
            <w:tcW w:w="2127" w:type="dxa"/>
            <w:tcBorders>
              <w:left w:val="nil"/>
              <w:bottom w:val="single" w:sz="4" w:space="0" w:color="auto"/>
              <w:right w:val="nil"/>
            </w:tcBorders>
          </w:tcPr>
          <w:p w:rsidR="00E81826" w:rsidRDefault="00E81826">
            <w:pPr>
              <w:jc w:val="both"/>
              <w:rPr>
                <w:b/>
                <w:bCs/>
                <w:sz w:val="23"/>
                <w:szCs w:val="22"/>
              </w:rPr>
            </w:pPr>
          </w:p>
        </w:tc>
        <w:tc>
          <w:tcPr>
            <w:tcW w:w="1984" w:type="dxa"/>
            <w:tcBorders>
              <w:left w:val="nil"/>
              <w:bottom w:val="single" w:sz="4" w:space="0" w:color="auto"/>
            </w:tcBorders>
          </w:tcPr>
          <w:p w:rsidR="00E81826" w:rsidRDefault="00E81826">
            <w:pPr>
              <w:jc w:val="both"/>
              <w:rPr>
                <w:b/>
                <w:bCs/>
                <w:sz w:val="23"/>
                <w:szCs w:val="22"/>
              </w:rPr>
            </w:pPr>
          </w:p>
        </w:tc>
      </w:tr>
      <w:tr w:rsidR="00E81826">
        <w:trPr>
          <w:trHeight w:val="232"/>
        </w:trPr>
        <w:tc>
          <w:tcPr>
            <w:tcW w:w="426" w:type="dxa"/>
          </w:tcPr>
          <w:p w:rsidR="00E81826" w:rsidRDefault="00E81826">
            <w:pPr>
              <w:jc w:val="both"/>
              <w:rPr>
                <w:b/>
                <w:bCs/>
                <w:sz w:val="23"/>
                <w:szCs w:val="22"/>
              </w:rPr>
            </w:pPr>
            <w:r>
              <w:rPr>
                <w:b/>
                <w:bCs/>
                <w:sz w:val="23"/>
                <w:szCs w:val="22"/>
              </w:rPr>
              <w:t>B</w:t>
            </w:r>
          </w:p>
        </w:tc>
        <w:tc>
          <w:tcPr>
            <w:tcW w:w="7371" w:type="dxa"/>
            <w:gridSpan w:val="3"/>
            <w:tcBorders>
              <w:right w:val="nil"/>
            </w:tcBorders>
          </w:tcPr>
          <w:p w:rsidR="00E81826" w:rsidRDefault="00E81826">
            <w:pPr>
              <w:jc w:val="both"/>
              <w:rPr>
                <w:b/>
                <w:bCs/>
                <w:sz w:val="23"/>
                <w:szCs w:val="22"/>
              </w:rPr>
            </w:pPr>
            <w:r>
              <w:rPr>
                <w:b/>
                <w:bCs/>
                <w:sz w:val="23"/>
                <w:szCs w:val="22"/>
              </w:rPr>
              <w:t>Somme a Disposizione dell’Amm.</w:t>
            </w:r>
          </w:p>
        </w:tc>
        <w:tc>
          <w:tcPr>
            <w:tcW w:w="1984" w:type="dxa"/>
            <w:tcBorders>
              <w:left w:val="nil"/>
            </w:tcBorders>
          </w:tcPr>
          <w:p w:rsidR="00E81826" w:rsidRDefault="00E81826">
            <w:pPr>
              <w:jc w:val="both"/>
              <w:rPr>
                <w:b/>
                <w:bCs/>
                <w:sz w:val="23"/>
                <w:szCs w:val="22"/>
              </w:rPr>
            </w:pPr>
          </w:p>
        </w:tc>
      </w:tr>
      <w:tr w:rsidR="00E81826">
        <w:trPr>
          <w:trHeight w:val="244"/>
        </w:trPr>
        <w:tc>
          <w:tcPr>
            <w:tcW w:w="426" w:type="dxa"/>
          </w:tcPr>
          <w:p w:rsidR="00E81826" w:rsidRDefault="00E81826">
            <w:pPr>
              <w:jc w:val="both"/>
              <w:rPr>
                <w:bCs/>
                <w:sz w:val="23"/>
                <w:szCs w:val="22"/>
              </w:rPr>
            </w:pPr>
            <w:r>
              <w:rPr>
                <w:bCs/>
                <w:sz w:val="23"/>
                <w:szCs w:val="22"/>
              </w:rPr>
              <w:t>1</w:t>
            </w:r>
          </w:p>
        </w:tc>
        <w:tc>
          <w:tcPr>
            <w:tcW w:w="3402" w:type="dxa"/>
          </w:tcPr>
          <w:p w:rsidR="00E81826" w:rsidRDefault="00E81826">
            <w:pPr>
              <w:jc w:val="both"/>
              <w:rPr>
                <w:b/>
                <w:bCs/>
                <w:sz w:val="23"/>
                <w:szCs w:val="22"/>
              </w:rPr>
            </w:pPr>
            <w:r>
              <w:rPr>
                <w:bCs/>
                <w:sz w:val="23"/>
                <w:szCs w:val="22"/>
              </w:rPr>
              <w:t>IVA 10%</w:t>
            </w:r>
          </w:p>
        </w:tc>
        <w:tc>
          <w:tcPr>
            <w:tcW w:w="1842" w:type="dxa"/>
          </w:tcPr>
          <w:p w:rsidR="00E81826" w:rsidRDefault="00E81826">
            <w:pPr>
              <w:jc w:val="both"/>
              <w:rPr>
                <w:b/>
                <w:bCs/>
                <w:sz w:val="23"/>
                <w:szCs w:val="22"/>
              </w:rPr>
            </w:pPr>
            <w:r>
              <w:rPr>
                <w:bCs/>
                <w:sz w:val="23"/>
                <w:szCs w:val="22"/>
              </w:rPr>
              <w:t>€        160.326,47</w:t>
            </w:r>
          </w:p>
        </w:tc>
        <w:tc>
          <w:tcPr>
            <w:tcW w:w="2127" w:type="dxa"/>
          </w:tcPr>
          <w:p w:rsidR="00E81826" w:rsidRDefault="00E81826">
            <w:pPr>
              <w:jc w:val="both"/>
              <w:rPr>
                <w:b/>
                <w:bCs/>
                <w:sz w:val="23"/>
                <w:szCs w:val="22"/>
              </w:rPr>
            </w:pPr>
            <w:r>
              <w:rPr>
                <w:bCs/>
                <w:sz w:val="23"/>
                <w:szCs w:val="22"/>
              </w:rPr>
              <w:t>€             160.326,47</w:t>
            </w:r>
          </w:p>
        </w:tc>
        <w:tc>
          <w:tcPr>
            <w:tcW w:w="1984" w:type="dxa"/>
          </w:tcPr>
          <w:p w:rsidR="00E81826" w:rsidRDefault="00E81826">
            <w:pPr>
              <w:jc w:val="both"/>
              <w:rPr>
                <w:b/>
                <w:bCs/>
                <w:sz w:val="23"/>
                <w:szCs w:val="22"/>
              </w:rPr>
            </w:pPr>
            <w:r>
              <w:rPr>
                <w:bCs/>
                <w:sz w:val="23"/>
                <w:szCs w:val="22"/>
              </w:rPr>
              <w:t>€          179.203,91</w:t>
            </w:r>
          </w:p>
        </w:tc>
      </w:tr>
      <w:tr w:rsidR="00E81826">
        <w:trPr>
          <w:trHeight w:val="232"/>
        </w:trPr>
        <w:tc>
          <w:tcPr>
            <w:tcW w:w="426" w:type="dxa"/>
          </w:tcPr>
          <w:p w:rsidR="00E81826" w:rsidRDefault="00E81826">
            <w:pPr>
              <w:jc w:val="both"/>
              <w:rPr>
                <w:bCs/>
                <w:sz w:val="23"/>
                <w:szCs w:val="22"/>
              </w:rPr>
            </w:pPr>
            <w:r>
              <w:rPr>
                <w:bCs/>
                <w:sz w:val="23"/>
                <w:szCs w:val="22"/>
              </w:rPr>
              <w:t>2</w:t>
            </w:r>
          </w:p>
        </w:tc>
        <w:tc>
          <w:tcPr>
            <w:tcW w:w="3402" w:type="dxa"/>
          </w:tcPr>
          <w:p w:rsidR="00E81826" w:rsidRDefault="00E81826">
            <w:pPr>
              <w:jc w:val="both"/>
              <w:rPr>
                <w:b/>
                <w:bCs/>
                <w:sz w:val="23"/>
                <w:szCs w:val="22"/>
              </w:rPr>
            </w:pPr>
            <w:r>
              <w:rPr>
                <w:bCs/>
                <w:sz w:val="23"/>
                <w:szCs w:val="22"/>
              </w:rPr>
              <w:t>Altri Oneri (IVA compresa)</w:t>
            </w:r>
          </w:p>
        </w:tc>
        <w:tc>
          <w:tcPr>
            <w:tcW w:w="1842" w:type="dxa"/>
          </w:tcPr>
          <w:p w:rsidR="00E81826" w:rsidRDefault="00E81826">
            <w:pPr>
              <w:jc w:val="both"/>
              <w:rPr>
                <w:b/>
                <w:bCs/>
                <w:sz w:val="23"/>
                <w:szCs w:val="22"/>
              </w:rPr>
            </w:pPr>
            <w:r>
              <w:rPr>
                <w:bCs/>
                <w:sz w:val="23"/>
                <w:szCs w:val="22"/>
              </w:rPr>
              <w:t>€        356.179,23</w:t>
            </w:r>
          </w:p>
        </w:tc>
        <w:tc>
          <w:tcPr>
            <w:tcW w:w="2127" w:type="dxa"/>
          </w:tcPr>
          <w:p w:rsidR="00E81826" w:rsidRDefault="00E81826">
            <w:pPr>
              <w:jc w:val="both"/>
              <w:rPr>
                <w:b/>
                <w:bCs/>
                <w:sz w:val="23"/>
                <w:szCs w:val="22"/>
              </w:rPr>
            </w:pPr>
            <w:r>
              <w:rPr>
                <w:bCs/>
                <w:sz w:val="23"/>
                <w:szCs w:val="22"/>
              </w:rPr>
              <w:t>€             281.614,04</w:t>
            </w:r>
          </w:p>
        </w:tc>
        <w:tc>
          <w:tcPr>
            <w:tcW w:w="1984" w:type="dxa"/>
          </w:tcPr>
          <w:p w:rsidR="00E81826" w:rsidRDefault="00E81826">
            <w:pPr>
              <w:jc w:val="both"/>
              <w:rPr>
                <w:b/>
                <w:bCs/>
                <w:sz w:val="23"/>
                <w:szCs w:val="22"/>
              </w:rPr>
            </w:pPr>
            <w:r>
              <w:rPr>
                <w:bCs/>
                <w:sz w:val="23"/>
                <w:szCs w:val="22"/>
              </w:rPr>
              <w:t>€          281.614,04</w:t>
            </w:r>
          </w:p>
        </w:tc>
      </w:tr>
      <w:tr w:rsidR="00E81826">
        <w:trPr>
          <w:trHeight w:val="476"/>
        </w:trPr>
        <w:tc>
          <w:tcPr>
            <w:tcW w:w="426" w:type="dxa"/>
          </w:tcPr>
          <w:p w:rsidR="00E81826" w:rsidRDefault="00E81826">
            <w:pPr>
              <w:jc w:val="both"/>
              <w:rPr>
                <w:bCs/>
                <w:sz w:val="23"/>
                <w:szCs w:val="22"/>
              </w:rPr>
            </w:pPr>
            <w:r>
              <w:rPr>
                <w:bCs/>
                <w:sz w:val="23"/>
                <w:szCs w:val="22"/>
              </w:rPr>
              <w:t>3</w:t>
            </w:r>
          </w:p>
        </w:tc>
        <w:tc>
          <w:tcPr>
            <w:tcW w:w="3402" w:type="dxa"/>
          </w:tcPr>
          <w:p w:rsidR="00E81826" w:rsidRDefault="00E81826">
            <w:pPr>
              <w:jc w:val="both"/>
              <w:rPr>
                <w:b/>
                <w:bCs/>
                <w:sz w:val="23"/>
                <w:szCs w:val="22"/>
              </w:rPr>
            </w:pPr>
            <w:r>
              <w:rPr>
                <w:bCs/>
                <w:sz w:val="23"/>
                <w:szCs w:val="22"/>
              </w:rPr>
              <w:t>Oneri per progettazione esecutiva (IVA e oneri compresi)</w:t>
            </w:r>
          </w:p>
        </w:tc>
        <w:tc>
          <w:tcPr>
            <w:tcW w:w="1842" w:type="dxa"/>
          </w:tcPr>
          <w:p w:rsidR="00E81826" w:rsidRDefault="00E81826">
            <w:pPr>
              <w:jc w:val="both"/>
              <w:rPr>
                <w:b/>
                <w:bCs/>
                <w:sz w:val="23"/>
                <w:szCs w:val="22"/>
              </w:rPr>
            </w:pPr>
            <w:r>
              <w:rPr>
                <w:bCs/>
                <w:sz w:val="23"/>
                <w:szCs w:val="22"/>
              </w:rPr>
              <w:t>€          53.836,77</w:t>
            </w:r>
          </w:p>
        </w:tc>
        <w:tc>
          <w:tcPr>
            <w:tcW w:w="2127" w:type="dxa"/>
          </w:tcPr>
          <w:p w:rsidR="00E81826" w:rsidRDefault="00E81826">
            <w:pPr>
              <w:jc w:val="both"/>
              <w:rPr>
                <w:b/>
                <w:bCs/>
                <w:sz w:val="23"/>
                <w:szCs w:val="22"/>
              </w:rPr>
            </w:pPr>
          </w:p>
        </w:tc>
        <w:tc>
          <w:tcPr>
            <w:tcW w:w="1984" w:type="dxa"/>
          </w:tcPr>
          <w:p w:rsidR="00E81826" w:rsidRDefault="00E81826">
            <w:pPr>
              <w:jc w:val="both"/>
              <w:rPr>
                <w:b/>
                <w:bCs/>
                <w:sz w:val="23"/>
                <w:szCs w:val="22"/>
              </w:rPr>
            </w:pPr>
          </w:p>
        </w:tc>
      </w:tr>
      <w:tr w:rsidR="00E81826">
        <w:trPr>
          <w:trHeight w:val="244"/>
        </w:trPr>
        <w:tc>
          <w:tcPr>
            <w:tcW w:w="426" w:type="dxa"/>
          </w:tcPr>
          <w:p w:rsidR="00E81826" w:rsidRDefault="00E81826">
            <w:pPr>
              <w:jc w:val="both"/>
              <w:rPr>
                <w:bCs/>
                <w:sz w:val="23"/>
                <w:szCs w:val="22"/>
              </w:rPr>
            </w:pPr>
            <w:r>
              <w:rPr>
                <w:bCs/>
                <w:sz w:val="23"/>
                <w:szCs w:val="22"/>
              </w:rPr>
              <w:t>4</w:t>
            </w:r>
          </w:p>
        </w:tc>
        <w:tc>
          <w:tcPr>
            <w:tcW w:w="3402" w:type="dxa"/>
          </w:tcPr>
          <w:p w:rsidR="00E81826" w:rsidRDefault="00E81826">
            <w:pPr>
              <w:jc w:val="both"/>
              <w:rPr>
                <w:b/>
                <w:bCs/>
                <w:sz w:val="23"/>
                <w:szCs w:val="22"/>
              </w:rPr>
            </w:pPr>
            <w:r>
              <w:rPr>
                <w:bCs/>
                <w:sz w:val="23"/>
                <w:szCs w:val="22"/>
              </w:rPr>
              <w:t>Accantonamento per accordi bonari</w:t>
            </w:r>
          </w:p>
        </w:tc>
        <w:tc>
          <w:tcPr>
            <w:tcW w:w="1842" w:type="dxa"/>
          </w:tcPr>
          <w:p w:rsidR="00E81826" w:rsidRDefault="00E81826">
            <w:pPr>
              <w:jc w:val="both"/>
              <w:rPr>
                <w:b/>
                <w:bCs/>
                <w:sz w:val="23"/>
                <w:szCs w:val="22"/>
              </w:rPr>
            </w:pPr>
            <w:r>
              <w:rPr>
                <w:bCs/>
                <w:sz w:val="23"/>
                <w:szCs w:val="22"/>
              </w:rPr>
              <w:t>€          48.097,94</w:t>
            </w:r>
          </w:p>
        </w:tc>
        <w:tc>
          <w:tcPr>
            <w:tcW w:w="2127" w:type="dxa"/>
          </w:tcPr>
          <w:p w:rsidR="00E81826" w:rsidRDefault="00E81826">
            <w:pPr>
              <w:jc w:val="both"/>
              <w:rPr>
                <w:b/>
                <w:bCs/>
                <w:sz w:val="23"/>
                <w:szCs w:val="22"/>
              </w:rPr>
            </w:pPr>
          </w:p>
        </w:tc>
        <w:tc>
          <w:tcPr>
            <w:tcW w:w="1984" w:type="dxa"/>
          </w:tcPr>
          <w:p w:rsidR="00E81826" w:rsidRDefault="00E81826">
            <w:pPr>
              <w:jc w:val="both"/>
              <w:rPr>
                <w:b/>
                <w:bCs/>
                <w:sz w:val="23"/>
                <w:szCs w:val="22"/>
              </w:rPr>
            </w:pPr>
          </w:p>
        </w:tc>
      </w:tr>
      <w:tr w:rsidR="00E81826">
        <w:trPr>
          <w:trHeight w:val="476"/>
        </w:trPr>
        <w:tc>
          <w:tcPr>
            <w:tcW w:w="426" w:type="dxa"/>
          </w:tcPr>
          <w:p w:rsidR="00E81826" w:rsidRDefault="00E81826">
            <w:pPr>
              <w:jc w:val="both"/>
              <w:rPr>
                <w:bCs/>
                <w:sz w:val="23"/>
                <w:szCs w:val="22"/>
              </w:rPr>
            </w:pPr>
            <w:r>
              <w:rPr>
                <w:bCs/>
                <w:sz w:val="23"/>
                <w:szCs w:val="22"/>
              </w:rPr>
              <w:t>5</w:t>
            </w:r>
          </w:p>
        </w:tc>
        <w:tc>
          <w:tcPr>
            <w:tcW w:w="3402" w:type="dxa"/>
          </w:tcPr>
          <w:p w:rsidR="00E81826" w:rsidRDefault="00E81826">
            <w:pPr>
              <w:jc w:val="both"/>
              <w:rPr>
                <w:b/>
                <w:bCs/>
                <w:sz w:val="23"/>
                <w:szCs w:val="22"/>
              </w:rPr>
            </w:pPr>
            <w:r>
              <w:rPr>
                <w:bCs/>
                <w:sz w:val="23"/>
                <w:szCs w:val="22"/>
              </w:rPr>
              <w:t>Altre spese tecniche (IVA e oneri compresi)</w:t>
            </w:r>
          </w:p>
        </w:tc>
        <w:tc>
          <w:tcPr>
            <w:tcW w:w="1842" w:type="dxa"/>
          </w:tcPr>
          <w:p w:rsidR="00E81826" w:rsidRDefault="00E81826">
            <w:pPr>
              <w:jc w:val="both"/>
              <w:rPr>
                <w:b/>
                <w:bCs/>
                <w:sz w:val="23"/>
                <w:szCs w:val="22"/>
              </w:rPr>
            </w:pPr>
            <w:r>
              <w:rPr>
                <w:bCs/>
                <w:sz w:val="23"/>
                <w:szCs w:val="22"/>
              </w:rPr>
              <w:t>€          80.000,00</w:t>
            </w:r>
          </w:p>
        </w:tc>
        <w:tc>
          <w:tcPr>
            <w:tcW w:w="2127" w:type="dxa"/>
          </w:tcPr>
          <w:p w:rsidR="00E81826" w:rsidRDefault="00E81826">
            <w:pPr>
              <w:jc w:val="both"/>
              <w:rPr>
                <w:b/>
                <w:bCs/>
                <w:sz w:val="23"/>
                <w:szCs w:val="22"/>
              </w:rPr>
            </w:pPr>
            <w:r>
              <w:rPr>
                <w:bCs/>
                <w:sz w:val="23"/>
                <w:szCs w:val="22"/>
              </w:rPr>
              <w:t>€               80.000,00</w:t>
            </w:r>
          </w:p>
        </w:tc>
        <w:tc>
          <w:tcPr>
            <w:tcW w:w="1984" w:type="dxa"/>
          </w:tcPr>
          <w:p w:rsidR="00E81826" w:rsidRDefault="00E81826">
            <w:pPr>
              <w:jc w:val="both"/>
              <w:rPr>
                <w:b/>
                <w:bCs/>
                <w:sz w:val="23"/>
                <w:szCs w:val="22"/>
              </w:rPr>
            </w:pPr>
            <w:r>
              <w:rPr>
                <w:bCs/>
                <w:sz w:val="23"/>
                <w:szCs w:val="22"/>
              </w:rPr>
              <w:t>€            80.000,00</w:t>
            </w:r>
          </w:p>
        </w:tc>
      </w:tr>
      <w:tr w:rsidR="00E81826">
        <w:trPr>
          <w:trHeight w:val="232"/>
        </w:trPr>
        <w:tc>
          <w:tcPr>
            <w:tcW w:w="426" w:type="dxa"/>
          </w:tcPr>
          <w:p w:rsidR="00E81826" w:rsidRDefault="00E81826">
            <w:pPr>
              <w:jc w:val="both"/>
              <w:rPr>
                <w:bCs/>
                <w:sz w:val="23"/>
                <w:szCs w:val="22"/>
              </w:rPr>
            </w:pPr>
            <w:r>
              <w:rPr>
                <w:bCs/>
                <w:sz w:val="23"/>
                <w:szCs w:val="22"/>
              </w:rPr>
              <w:t>6</w:t>
            </w:r>
          </w:p>
        </w:tc>
        <w:tc>
          <w:tcPr>
            <w:tcW w:w="3402" w:type="dxa"/>
          </w:tcPr>
          <w:p w:rsidR="00E81826" w:rsidRDefault="00E81826">
            <w:pPr>
              <w:jc w:val="both"/>
              <w:rPr>
                <w:b/>
                <w:bCs/>
                <w:sz w:val="23"/>
                <w:szCs w:val="22"/>
              </w:rPr>
            </w:pPr>
            <w:r>
              <w:rPr>
                <w:bCs/>
                <w:sz w:val="23"/>
                <w:szCs w:val="22"/>
              </w:rPr>
              <w:t>Imprevisti (IVA compresa)</w:t>
            </w:r>
          </w:p>
        </w:tc>
        <w:tc>
          <w:tcPr>
            <w:tcW w:w="1842" w:type="dxa"/>
          </w:tcPr>
          <w:p w:rsidR="00E81826" w:rsidRDefault="00E81826">
            <w:pPr>
              <w:jc w:val="both"/>
              <w:rPr>
                <w:b/>
                <w:bCs/>
                <w:sz w:val="23"/>
                <w:szCs w:val="22"/>
              </w:rPr>
            </w:pPr>
            <w:r>
              <w:rPr>
                <w:bCs/>
                <w:sz w:val="23"/>
                <w:szCs w:val="22"/>
              </w:rPr>
              <w:t>€          48.294,89</w:t>
            </w:r>
          </w:p>
        </w:tc>
        <w:tc>
          <w:tcPr>
            <w:tcW w:w="2127" w:type="dxa"/>
          </w:tcPr>
          <w:p w:rsidR="00E81826" w:rsidRDefault="00E81826">
            <w:pPr>
              <w:jc w:val="both"/>
              <w:rPr>
                <w:b/>
                <w:bCs/>
                <w:sz w:val="23"/>
                <w:szCs w:val="22"/>
              </w:rPr>
            </w:pPr>
            <w:r>
              <w:rPr>
                <w:bCs/>
                <w:sz w:val="23"/>
                <w:szCs w:val="22"/>
              </w:rPr>
              <w:t>€             224.794,79</w:t>
            </w:r>
          </w:p>
        </w:tc>
        <w:tc>
          <w:tcPr>
            <w:tcW w:w="1984" w:type="dxa"/>
          </w:tcPr>
          <w:p w:rsidR="00E81826" w:rsidRDefault="00E81826">
            <w:pPr>
              <w:jc w:val="both"/>
              <w:rPr>
                <w:b/>
                <w:bCs/>
                <w:sz w:val="23"/>
                <w:szCs w:val="22"/>
              </w:rPr>
            </w:pPr>
            <w:r>
              <w:rPr>
                <w:bCs/>
                <w:sz w:val="23"/>
                <w:szCs w:val="22"/>
              </w:rPr>
              <w:t>€            17.143,00</w:t>
            </w:r>
          </w:p>
        </w:tc>
      </w:tr>
      <w:tr w:rsidR="00E81826">
        <w:trPr>
          <w:trHeight w:val="246"/>
        </w:trPr>
        <w:tc>
          <w:tcPr>
            <w:tcW w:w="426" w:type="dxa"/>
            <w:tcBorders>
              <w:bottom w:val="single" w:sz="4" w:space="0" w:color="auto"/>
            </w:tcBorders>
          </w:tcPr>
          <w:p w:rsidR="00E81826" w:rsidRDefault="00E81826">
            <w:pPr>
              <w:jc w:val="both"/>
              <w:rPr>
                <w:b/>
                <w:bCs/>
                <w:sz w:val="23"/>
                <w:szCs w:val="22"/>
              </w:rPr>
            </w:pPr>
          </w:p>
        </w:tc>
        <w:tc>
          <w:tcPr>
            <w:tcW w:w="3402" w:type="dxa"/>
            <w:tcBorders>
              <w:bottom w:val="single" w:sz="4" w:space="0" w:color="auto"/>
            </w:tcBorders>
          </w:tcPr>
          <w:p w:rsidR="00E81826" w:rsidRDefault="00E81826">
            <w:pPr>
              <w:jc w:val="both"/>
              <w:rPr>
                <w:b/>
                <w:bCs/>
                <w:sz w:val="23"/>
                <w:szCs w:val="22"/>
              </w:rPr>
            </w:pPr>
            <w:r>
              <w:rPr>
                <w:b/>
                <w:bCs/>
                <w:sz w:val="23"/>
                <w:szCs w:val="22"/>
              </w:rPr>
              <w:t>Totale B</w:t>
            </w:r>
          </w:p>
        </w:tc>
        <w:tc>
          <w:tcPr>
            <w:tcW w:w="1842" w:type="dxa"/>
            <w:tcBorders>
              <w:bottom w:val="single" w:sz="4" w:space="0" w:color="auto"/>
            </w:tcBorders>
          </w:tcPr>
          <w:p w:rsidR="00E81826" w:rsidRDefault="00E81826">
            <w:pPr>
              <w:jc w:val="both"/>
              <w:rPr>
                <w:b/>
                <w:bCs/>
                <w:sz w:val="23"/>
                <w:szCs w:val="22"/>
              </w:rPr>
            </w:pPr>
            <w:r>
              <w:rPr>
                <w:bCs/>
                <w:sz w:val="23"/>
                <w:szCs w:val="22"/>
              </w:rPr>
              <w:t>€        746.735,30</w:t>
            </w:r>
          </w:p>
        </w:tc>
        <w:tc>
          <w:tcPr>
            <w:tcW w:w="2127" w:type="dxa"/>
            <w:tcBorders>
              <w:bottom w:val="single" w:sz="4" w:space="0" w:color="auto"/>
            </w:tcBorders>
          </w:tcPr>
          <w:p w:rsidR="00E81826" w:rsidRDefault="00E81826">
            <w:pPr>
              <w:jc w:val="both"/>
              <w:rPr>
                <w:b/>
                <w:bCs/>
                <w:sz w:val="23"/>
                <w:szCs w:val="22"/>
              </w:rPr>
            </w:pPr>
            <w:r>
              <w:rPr>
                <w:bCs/>
                <w:sz w:val="23"/>
                <w:szCs w:val="22"/>
              </w:rPr>
              <w:t>€             746.735,30</w:t>
            </w:r>
          </w:p>
        </w:tc>
        <w:tc>
          <w:tcPr>
            <w:tcW w:w="1984" w:type="dxa"/>
            <w:tcBorders>
              <w:bottom w:val="single" w:sz="4" w:space="0" w:color="auto"/>
            </w:tcBorders>
          </w:tcPr>
          <w:p w:rsidR="00E81826" w:rsidRDefault="00E81826">
            <w:pPr>
              <w:jc w:val="both"/>
              <w:rPr>
                <w:bCs/>
                <w:sz w:val="23"/>
                <w:szCs w:val="22"/>
              </w:rPr>
            </w:pPr>
            <w:r>
              <w:rPr>
                <w:bCs/>
                <w:sz w:val="23"/>
                <w:szCs w:val="22"/>
              </w:rPr>
              <w:t>€          577.960,95</w:t>
            </w:r>
          </w:p>
        </w:tc>
      </w:tr>
      <w:tr w:rsidR="00E81826">
        <w:trPr>
          <w:trHeight w:val="232"/>
        </w:trPr>
        <w:tc>
          <w:tcPr>
            <w:tcW w:w="426" w:type="dxa"/>
            <w:tcBorders>
              <w:right w:val="nil"/>
            </w:tcBorders>
          </w:tcPr>
          <w:p w:rsidR="00E81826" w:rsidRDefault="00E81826">
            <w:pPr>
              <w:jc w:val="both"/>
              <w:rPr>
                <w:b/>
                <w:bCs/>
                <w:sz w:val="23"/>
                <w:szCs w:val="22"/>
              </w:rPr>
            </w:pPr>
          </w:p>
        </w:tc>
        <w:tc>
          <w:tcPr>
            <w:tcW w:w="3402" w:type="dxa"/>
            <w:tcBorders>
              <w:left w:val="nil"/>
              <w:right w:val="nil"/>
            </w:tcBorders>
          </w:tcPr>
          <w:p w:rsidR="00E81826" w:rsidRDefault="00E81826">
            <w:pPr>
              <w:jc w:val="both"/>
              <w:rPr>
                <w:b/>
                <w:bCs/>
                <w:sz w:val="23"/>
                <w:szCs w:val="22"/>
              </w:rPr>
            </w:pPr>
          </w:p>
        </w:tc>
        <w:tc>
          <w:tcPr>
            <w:tcW w:w="1842" w:type="dxa"/>
            <w:tcBorders>
              <w:left w:val="nil"/>
              <w:right w:val="nil"/>
            </w:tcBorders>
          </w:tcPr>
          <w:p w:rsidR="00E81826" w:rsidRDefault="00E81826">
            <w:pPr>
              <w:jc w:val="both"/>
              <w:rPr>
                <w:b/>
                <w:bCs/>
                <w:sz w:val="23"/>
                <w:szCs w:val="22"/>
              </w:rPr>
            </w:pPr>
          </w:p>
        </w:tc>
        <w:tc>
          <w:tcPr>
            <w:tcW w:w="2127" w:type="dxa"/>
            <w:tcBorders>
              <w:left w:val="nil"/>
              <w:right w:val="nil"/>
            </w:tcBorders>
          </w:tcPr>
          <w:p w:rsidR="00E81826" w:rsidRDefault="00E81826">
            <w:pPr>
              <w:jc w:val="both"/>
              <w:rPr>
                <w:b/>
                <w:bCs/>
                <w:sz w:val="23"/>
                <w:szCs w:val="22"/>
              </w:rPr>
            </w:pPr>
          </w:p>
        </w:tc>
        <w:tc>
          <w:tcPr>
            <w:tcW w:w="1984" w:type="dxa"/>
            <w:tcBorders>
              <w:left w:val="nil"/>
            </w:tcBorders>
          </w:tcPr>
          <w:p w:rsidR="00E81826" w:rsidRDefault="00E81826">
            <w:pPr>
              <w:jc w:val="both"/>
              <w:rPr>
                <w:b/>
                <w:bCs/>
                <w:sz w:val="23"/>
                <w:szCs w:val="22"/>
              </w:rPr>
            </w:pPr>
          </w:p>
        </w:tc>
      </w:tr>
      <w:tr w:rsidR="00E81826">
        <w:trPr>
          <w:trHeight w:val="232"/>
        </w:trPr>
        <w:tc>
          <w:tcPr>
            <w:tcW w:w="426" w:type="dxa"/>
          </w:tcPr>
          <w:p w:rsidR="00E81826" w:rsidRDefault="00E81826">
            <w:pPr>
              <w:jc w:val="both"/>
              <w:rPr>
                <w:b/>
                <w:bCs/>
                <w:sz w:val="23"/>
                <w:szCs w:val="22"/>
              </w:rPr>
            </w:pPr>
          </w:p>
        </w:tc>
        <w:tc>
          <w:tcPr>
            <w:tcW w:w="3402" w:type="dxa"/>
          </w:tcPr>
          <w:p w:rsidR="00E81826" w:rsidRDefault="00E81826">
            <w:pPr>
              <w:jc w:val="both"/>
              <w:rPr>
                <w:b/>
                <w:bCs/>
                <w:sz w:val="23"/>
                <w:szCs w:val="22"/>
              </w:rPr>
            </w:pPr>
            <w:r>
              <w:rPr>
                <w:b/>
                <w:bCs/>
                <w:sz w:val="23"/>
                <w:szCs w:val="22"/>
              </w:rPr>
              <w:t>TOTALE INTERVENTO</w:t>
            </w:r>
          </w:p>
        </w:tc>
        <w:tc>
          <w:tcPr>
            <w:tcW w:w="1842" w:type="dxa"/>
          </w:tcPr>
          <w:p w:rsidR="00E81826" w:rsidRDefault="00E81826">
            <w:pPr>
              <w:jc w:val="both"/>
              <w:rPr>
                <w:b/>
                <w:bCs/>
                <w:sz w:val="23"/>
                <w:szCs w:val="22"/>
              </w:rPr>
            </w:pPr>
            <w:r>
              <w:rPr>
                <w:b/>
                <w:bCs/>
                <w:sz w:val="23"/>
                <w:szCs w:val="22"/>
              </w:rPr>
              <w:t>€     2.350.000,00</w:t>
            </w:r>
          </w:p>
        </w:tc>
        <w:tc>
          <w:tcPr>
            <w:tcW w:w="2127" w:type="dxa"/>
          </w:tcPr>
          <w:p w:rsidR="00E81826" w:rsidRDefault="00E81826">
            <w:pPr>
              <w:jc w:val="both"/>
              <w:rPr>
                <w:b/>
                <w:bCs/>
                <w:sz w:val="23"/>
                <w:szCs w:val="22"/>
              </w:rPr>
            </w:pPr>
            <w:r>
              <w:rPr>
                <w:b/>
                <w:bCs/>
                <w:sz w:val="23"/>
                <w:szCs w:val="22"/>
              </w:rPr>
              <w:t>€          2.350.000,00</w:t>
            </w:r>
          </w:p>
        </w:tc>
        <w:tc>
          <w:tcPr>
            <w:tcW w:w="1984" w:type="dxa"/>
          </w:tcPr>
          <w:p w:rsidR="00E81826" w:rsidRDefault="00E81826">
            <w:pPr>
              <w:jc w:val="both"/>
              <w:rPr>
                <w:b/>
                <w:bCs/>
                <w:sz w:val="23"/>
                <w:szCs w:val="22"/>
              </w:rPr>
            </w:pPr>
            <w:r>
              <w:rPr>
                <w:b/>
                <w:bCs/>
                <w:sz w:val="23"/>
                <w:szCs w:val="22"/>
              </w:rPr>
              <w:t>€       2.350.000,00</w:t>
            </w:r>
          </w:p>
        </w:tc>
      </w:tr>
    </w:tbl>
    <w:p w:rsidR="00E81826" w:rsidRDefault="00E81826">
      <w:pPr>
        <w:autoSpaceDE w:val="0"/>
        <w:autoSpaceDN w:val="0"/>
        <w:adjustRightInd w:val="0"/>
        <w:spacing w:before="40" w:after="120"/>
        <w:jc w:val="both"/>
        <w:rPr>
          <w:rFonts w:eastAsia="Calibri"/>
          <w:color w:val="000000"/>
          <w:sz w:val="23"/>
          <w:szCs w:val="24"/>
          <w:lang w:eastAsia="en-US"/>
        </w:rPr>
      </w:pPr>
    </w:p>
    <w:p w:rsidR="00E81826" w:rsidRDefault="00E81826">
      <w:pPr>
        <w:spacing w:after="60"/>
        <w:jc w:val="both"/>
        <w:rPr>
          <w:rFonts w:ascii="Arial" w:eastAsia="Calibri" w:hAnsi="Arial" w:cs="Arial"/>
          <w:sz w:val="23"/>
          <w:szCs w:val="24"/>
          <w:lang w:eastAsia="en-US"/>
        </w:rPr>
      </w:pPr>
      <w:r>
        <w:rPr>
          <w:rFonts w:ascii="Arial" w:eastAsia="Calibri" w:hAnsi="Arial" w:cs="Arial"/>
          <w:bCs/>
          <w:sz w:val="23"/>
          <w:szCs w:val="24"/>
          <w:lang w:eastAsia="en-US"/>
        </w:rPr>
        <w:t xml:space="preserve">Dato atto </w:t>
      </w:r>
      <w:r>
        <w:rPr>
          <w:rFonts w:ascii="Arial" w:eastAsia="Calibri" w:hAnsi="Arial" w:cs="Arial"/>
          <w:sz w:val="23"/>
          <w:szCs w:val="24"/>
          <w:lang w:eastAsia="en-US"/>
        </w:rPr>
        <w:t>che il progetto in esame, ha le seguenti codifiche:</w:t>
      </w:r>
    </w:p>
    <w:p w:rsidR="00E81826" w:rsidRDefault="00E81826">
      <w:pPr>
        <w:numPr>
          <w:ilvl w:val="0"/>
          <w:numId w:val="4"/>
        </w:numPr>
        <w:autoSpaceDE w:val="0"/>
        <w:autoSpaceDN w:val="0"/>
        <w:adjustRightInd w:val="0"/>
        <w:spacing w:after="60"/>
        <w:ind w:left="284" w:hanging="284"/>
        <w:jc w:val="both"/>
        <w:rPr>
          <w:rFonts w:ascii="Arial" w:eastAsia="Calibri" w:hAnsi="Arial" w:cs="Arial"/>
          <w:color w:val="000000"/>
          <w:sz w:val="23"/>
          <w:szCs w:val="24"/>
          <w:lang w:eastAsia="en-US"/>
        </w:rPr>
      </w:pPr>
      <w:r>
        <w:rPr>
          <w:rFonts w:ascii="Arial" w:eastAsia="Calibri" w:hAnsi="Arial" w:cs="Arial"/>
          <w:color w:val="000000"/>
          <w:sz w:val="23"/>
          <w:szCs w:val="24"/>
          <w:lang w:eastAsia="en-US"/>
        </w:rPr>
        <w:lastRenderedPageBreak/>
        <w:t>Codice Unico di Progetto (CUP): E93F12000060005 essere riportato su tutti i documenti amministrativi e contabili, cartacei ed informatici, relativo a questo specifico progetto di investimento pubblico, e essere utilizzato nelle banche dati dei vari sistemi informativi, comunque interessati al suddetto progetto, come stabilito dalla delibera CIPE n. 24 del 29/09/2004;</w:t>
      </w:r>
    </w:p>
    <w:p w:rsidR="00E81826" w:rsidRDefault="00E81826">
      <w:pPr>
        <w:numPr>
          <w:ilvl w:val="0"/>
          <w:numId w:val="5"/>
        </w:numPr>
        <w:autoSpaceDE w:val="0"/>
        <w:autoSpaceDN w:val="0"/>
        <w:adjustRightInd w:val="0"/>
        <w:spacing w:after="120"/>
        <w:ind w:left="284" w:hanging="284"/>
        <w:jc w:val="both"/>
        <w:rPr>
          <w:rFonts w:ascii="Arial" w:eastAsia="Calibri" w:hAnsi="Arial" w:cs="Arial"/>
          <w:bCs/>
          <w:sz w:val="23"/>
          <w:szCs w:val="24"/>
          <w:lang w:eastAsia="en-US"/>
        </w:rPr>
      </w:pPr>
      <w:r>
        <w:rPr>
          <w:rFonts w:ascii="Arial" w:eastAsia="Calibri" w:hAnsi="Arial" w:cs="Arial"/>
          <w:sz w:val="23"/>
          <w:szCs w:val="24"/>
          <w:lang w:eastAsia="en-US"/>
        </w:rPr>
        <w:t>Codice CIG dei lavori: 4831645F92</w:t>
      </w:r>
      <w:r>
        <w:rPr>
          <w:rFonts w:ascii="Arial" w:eastAsia="Calibri" w:hAnsi="Arial" w:cs="Arial"/>
          <w:bCs/>
          <w:sz w:val="23"/>
          <w:szCs w:val="24"/>
          <w:lang w:eastAsia="en-US"/>
        </w:rPr>
        <w:t>.</w:t>
      </w:r>
    </w:p>
    <w:p w:rsidR="00E81826" w:rsidRDefault="00E81826">
      <w:pPr>
        <w:autoSpaceDE w:val="0"/>
        <w:autoSpaceDN w:val="0"/>
        <w:adjustRightInd w:val="0"/>
        <w:spacing w:before="120" w:after="60"/>
        <w:jc w:val="both"/>
        <w:rPr>
          <w:rFonts w:ascii="Arial" w:eastAsia="Calibri" w:hAnsi="Arial" w:cs="Arial"/>
          <w:color w:val="000000"/>
          <w:sz w:val="23"/>
          <w:szCs w:val="24"/>
          <w:lang w:eastAsia="en-US"/>
        </w:rPr>
      </w:pPr>
      <w:r>
        <w:rPr>
          <w:rFonts w:ascii="Arial" w:eastAsia="Calibri" w:hAnsi="Arial" w:cs="Arial"/>
          <w:bCs/>
          <w:color w:val="000000"/>
          <w:sz w:val="23"/>
          <w:szCs w:val="24"/>
          <w:lang w:eastAsia="en-US"/>
        </w:rPr>
        <w:t xml:space="preserve">Verificato </w:t>
      </w:r>
      <w:r>
        <w:rPr>
          <w:rFonts w:ascii="Arial" w:eastAsia="Calibri" w:hAnsi="Arial" w:cs="Arial"/>
          <w:color w:val="000000"/>
          <w:sz w:val="23"/>
          <w:szCs w:val="24"/>
          <w:lang w:eastAsia="en-US"/>
        </w:rPr>
        <w:t xml:space="preserve">che l’Ufficio Provveditorato e Servizi Generali ha effettuato le seguenti verifiche sul </w:t>
      </w:r>
      <w:r>
        <w:rPr>
          <w:rFonts w:ascii="Arial" w:eastAsia="Calibri" w:hAnsi="Arial" w:cs="Arial"/>
          <w:bCs/>
          <w:sz w:val="23"/>
          <w:szCs w:val="24"/>
          <w:lang w:eastAsia="en-US"/>
        </w:rPr>
        <w:t>Consorzio INTEGRA Soc. Coop. e sua consorziata ICI Coop. Soc. Coop. (quale impresa esecutrice)</w:t>
      </w:r>
      <w:r>
        <w:rPr>
          <w:rFonts w:ascii="Arial" w:eastAsia="Calibri" w:hAnsi="Arial" w:cs="Arial"/>
          <w:color w:val="000000"/>
          <w:sz w:val="23"/>
          <w:szCs w:val="24"/>
          <w:lang w:eastAsia="en-US"/>
        </w:rPr>
        <w:t>:</w:t>
      </w:r>
    </w:p>
    <w:p w:rsidR="00E81826" w:rsidRDefault="00E81826">
      <w:pPr>
        <w:numPr>
          <w:ilvl w:val="0"/>
          <w:numId w:val="6"/>
        </w:numPr>
        <w:autoSpaceDE w:val="0"/>
        <w:autoSpaceDN w:val="0"/>
        <w:adjustRightInd w:val="0"/>
        <w:spacing w:after="60"/>
        <w:ind w:left="426" w:hanging="284"/>
        <w:jc w:val="both"/>
        <w:rPr>
          <w:rFonts w:ascii="Arial" w:eastAsia="Calibri" w:hAnsi="Arial" w:cs="Arial"/>
          <w:sz w:val="23"/>
          <w:szCs w:val="24"/>
          <w:lang w:eastAsia="en-US"/>
        </w:rPr>
      </w:pPr>
      <w:r>
        <w:rPr>
          <w:rFonts w:ascii="Arial" w:eastAsia="Calibri" w:hAnsi="Arial" w:cs="Arial"/>
          <w:sz w:val="23"/>
          <w:szCs w:val="24"/>
          <w:lang w:eastAsia="en-US"/>
        </w:rPr>
        <w:t>è stata verificata l’Iscrizione alla Camera del Commercio dalla cui visura camerale non risulta iscritta alcuna procedura concorsuale in corso o pregressa;</w:t>
      </w:r>
    </w:p>
    <w:p w:rsidR="00E81826" w:rsidRDefault="00E81826">
      <w:pPr>
        <w:numPr>
          <w:ilvl w:val="0"/>
          <w:numId w:val="6"/>
        </w:numPr>
        <w:autoSpaceDE w:val="0"/>
        <w:autoSpaceDN w:val="0"/>
        <w:adjustRightInd w:val="0"/>
        <w:spacing w:after="60"/>
        <w:ind w:left="426" w:hanging="284"/>
        <w:jc w:val="both"/>
        <w:rPr>
          <w:rFonts w:ascii="Arial" w:eastAsia="Calibri" w:hAnsi="Arial" w:cs="Arial"/>
          <w:sz w:val="23"/>
          <w:szCs w:val="24"/>
          <w:lang w:eastAsia="en-US"/>
        </w:rPr>
      </w:pPr>
      <w:r>
        <w:rPr>
          <w:rFonts w:ascii="Arial" w:eastAsia="Calibri" w:hAnsi="Arial" w:cs="Arial"/>
          <w:sz w:val="23"/>
          <w:szCs w:val="24"/>
          <w:lang w:eastAsia="en-US"/>
        </w:rPr>
        <w:t xml:space="preserve">è stato acquisito il DURC regolare: Consorzio Integra Soc. Coop. n.prot.INAIL_18876222 dd. 02.11.2019, acquisito al protocollo camerale informatico n. 27323/E dd. 14.11.2019; I.C.I. Soc.Coop.ARL n.prot.INAIL_18641823 dd. 17.10.2019, acquisito al protocollo camerale informatico n. 27322/E dd. 14.11.2019; </w:t>
      </w:r>
    </w:p>
    <w:p w:rsidR="00E81826" w:rsidRDefault="00E81826">
      <w:pPr>
        <w:numPr>
          <w:ilvl w:val="0"/>
          <w:numId w:val="6"/>
        </w:numPr>
        <w:autoSpaceDE w:val="0"/>
        <w:autoSpaceDN w:val="0"/>
        <w:adjustRightInd w:val="0"/>
        <w:spacing w:after="60"/>
        <w:ind w:left="426" w:hanging="284"/>
        <w:jc w:val="both"/>
        <w:rPr>
          <w:rFonts w:ascii="Arial" w:eastAsia="Calibri" w:hAnsi="Arial" w:cs="Arial"/>
          <w:sz w:val="23"/>
          <w:szCs w:val="24"/>
          <w:lang w:eastAsia="en-US"/>
        </w:rPr>
      </w:pPr>
      <w:r>
        <w:rPr>
          <w:rFonts w:ascii="Arial" w:eastAsia="Calibri" w:hAnsi="Arial" w:cs="Arial"/>
          <w:sz w:val="23"/>
          <w:szCs w:val="24"/>
          <w:lang w:eastAsia="en-US"/>
        </w:rPr>
        <w:t>è stata consultata la Banca dati del casellario informatico dell’AVCP verificando che non sono evidenziate annotazioni ostative all’approvazione dell’aumento contrattuale oggetto della presente variante;</w:t>
      </w:r>
    </w:p>
    <w:p w:rsidR="00E81826" w:rsidRDefault="00E81826">
      <w:pPr>
        <w:autoSpaceDE w:val="0"/>
        <w:autoSpaceDN w:val="0"/>
        <w:adjustRightInd w:val="0"/>
        <w:spacing w:before="160" w:after="80"/>
        <w:jc w:val="both"/>
        <w:rPr>
          <w:rFonts w:ascii="Arial" w:eastAsia="Calibri" w:hAnsi="Arial" w:cs="Arial"/>
          <w:color w:val="000000"/>
          <w:sz w:val="23"/>
          <w:szCs w:val="24"/>
          <w:lang w:eastAsia="en-US"/>
        </w:rPr>
      </w:pPr>
      <w:r>
        <w:rPr>
          <w:rFonts w:ascii="Arial" w:eastAsia="Calibri" w:hAnsi="Arial" w:cs="Arial"/>
          <w:bCs/>
          <w:color w:val="000000"/>
          <w:sz w:val="23"/>
          <w:szCs w:val="24"/>
          <w:lang w:eastAsia="en-US"/>
        </w:rPr>
        <w:t>Dato atto che:</w:t>
      </w:r>
    </w:p>
    <w:p w:rsidR="00E81826" w:rsidRDefault="00E81826">
      <w:pPr>
        <w:numPr>
          <w:ilvl w:val="0"/>
          <w:numId w:val="7"/>
        </w:numPr>
        <w:autoSpaceDE w:val="0"/>
        <w:autoSpaceDN w:val="0"/>
        <w:adjustRightInd w:val="0"/>
        <w:spacing w:before="40" w:after="60"/>
        <w:ind w:left="426" w:hanging="284"/>
        <w:jc w:val="both"/>
        <w:rPr>
          <w:rFonts w:ascii="Arial" w:eastAsia="Calibri" w:hAnsi="Arial" w:cs="Arial"/>
          <w:color w:val="000000"/>
          <w:sz w:val="23"/>
          <w:szCs w:val="24"/>
          <w:lang w:eastAsia="en-US"/>
        </w:rPr>
      </w:pPr>
      <w:r>
        <w:rPr>
          <w:rFonts w:ascii="Arial" w:eastAsia="Calibri" w:hAnsi="Arial" w:cs="Arial"/>
          <w:color w:val="000000"/>
          <w:sz w:val="23"/>
          <w:szCs w:val="24"/>
          <w:lang w:eastAsia="en-US"/>
        </w:rPr>
        <w:t>a seguito della presente 1^ perizia di variante, sono state rimodulate le voci di spesa del quadro economico e relativi importi, nella parte delle Somme a disposizione dell’Amministrazione del quadro economico che rimane di complessivi Euro 2.350.000,00, a fronte del precedente in ultimo approvato con Determinazione n. 484 dd. 13 settembre 2019;</w:t>
      </w:r>
    </w:p>
    <w:p w:rsidR="00E81826" w:rsidRDefault="00E81826">
      <w:pPr>
        <w:numPr>
          <w:ilvl w:val="0"/>
          <w:numId w:val="7"/>
        </w:numPr>
        <w:autoSpaceDE w:val="0"/>
        <w:autoSpaceDN w:val="0"/>
        <w:adjustRightInd w:val="0"/>
        <w:spacing w:before="120" w:after="120"/>
        <w:ind w:left="426" w:hanging="284"/>
        <w:jc w:val="both"/>
        <w:rPr>
          <w:rFonts w:ascii="Arial" w:eastAsia="Calibri" w:hAnsi="Arial" w:cs="Arial"/>
          <w:color w:val="000000"/>
          <w:sz w:val="23"/>
          <w:szCs w:val="24"/>
          <w:lang w:eastAsia="en-US"/>
        </w:rPr>
      </w:pPr>
      <w:r>
        <w:rPr>
          <w:rFonts w:ascii="Arial" w:eastAsia="Calibri" w:hAnsi="Arial" w:cs="Arial"/>
          <w:color w:val="000000"/>
          <w:sz w:val="23"/>
          <w:szCs w:val="24"/>
          <w:lang w:eastAsia="en-US"/>
        </w:rPr>
        <w:t>la copertura finanziaria della perizia di variante per complessivi Euro 179.239,39 è assicurata, pertanto, secondo il quadro economico rimodulato nel modo seguente:</w:t>
      </w:r>
    </w:p>
    <w:p w:rsidR="00E81826" w:rsidRDefault="00E81826">
      <w:pPr>
        <w:spacing w:before="120" w:after="160"/>
        <w:jc w:val="center"/>
        <w:rPr>
          <w:rFonts w:ascii="Arial" w:eastAsia="Calibri" w:hAnsi="Arial" w:cs="Arial"/>
          <w:b/>
          <w:bCs/>
          <w:sz w:val="23"/>
          <w:szCs w:val="24"/>
          <w:lang w:eastAsia="en-US"/>
        </w:rPr>
      </w:pPr>
      <w:r>
        <w:rPr>
          <w:rFonts w:ascii="Arial" w:eastAsia="Calibri" w:hAnsi="Arial" w:cs="Arial"/>
          <w:b/>
          <w:bCs/>
          <w:sz w:val="23"/>
          <w:szCs w:val="24"/>
          <w:lang w:eastAsia="en-US"/>
        </w:rPr>
        <w:t>Quadro Economico di Perizia n. 1</w:t>
      </w:r>
    </w:p>
    <w:tbl>
      <w:tblPr>
        <w:tblW w:w="0" w:type="auto"/>
        <w:tblLook w:val="04A0" w:firstRow="1" w:lastRow="0" w:firstColumn="1" w:lastColumn="0" w:noHBand="0" w:noVBand="1"/>
      </w:tblPr>
      <w:tblGrid>
        <w:gridCol w:w="5211"/>
        <w:gridCol w:w="1985"/>
        <w:gridCol w:w="1866"/>
      </w:tblGrid>
      <w:tr w:rsidR="00E81826">
        <w:tc>
          <w:tcPr>
            <w:tcW w:w="5211" w:type="dxa"/>
          </w:tcPr>
          <w:p w:rsidR="00E81826" w:rsidRDefault="00E81826">
            <w:pPr>
              <w:spacing w:after="120"/>
              <w:jc w:val="both"/>
              <w:rPr>
                <w:rFonts w:eastAsia="Calibri"/>
                <w:b/>
                <w:bCs/>
                <w:sz w:val="22"/>
                <w:szCs w:val="22"/>
                <w:lang w:eastAsia="en-US"/>
              </w:rPr>
            </w:pPr>
            <w:r>
              <w:rPr>
                <w:rFonts w:eastAsia="Calibri"/>
                <w:b/>
                <w:bCs/>
                <w:sz w:val="22"/>
                <w:szCs w:val="22"/>
                <w:lang w:eastAsia="en-US"/>
              </w:rPr>
              <w:t>LAVORI</w:t>
            </w:r>
          </w:p>
        </w:tc>
        <w:tc>
          <w:tcPr>
            <w:tcW w:w="1985" w:type="dxa"/>
          </w:tcPr>
          <w:p w:rsidR="00E81826" w:rsidRDefault="00E81826">
            <w:pPr>
              <w:spacing w:after="120"/>
              <w:jc w:val="both"/>
              <w:rPr>
                <w:rFonts w:eastAsia="Calibri"/>
                <w:b/>
                <w:bCs/>
                <w:sz w:val="22"/>
                <w:szCs w:val="22"/>
                <w:lang w:eastAsia="en-US"/>
              </w:rPr>
            </w:pPr>
          </w:p>
        </w:tc>
        <w:tc>
          <w:tcPr>
            <w:tcW w:w="1866" w:type="dxa"/>
          </w:tcPr>
          <w:p w:rsidR="00E81826" w:rsidRDefault="00E81826">
            <w:pPr>
              <w:spacing w:after="120"/>
              <w:jc w:val="both"/>
              <w:rPr>
                <w:rFonts w:eastAsia="Calibri"/>
                <w:b/>
                <w:bCs/>
                <w:sz w:val="22"/>
                <w:szCs w:val="22"/>
                <w:lang w:eastAsia="en-US"/>
              </w:rPr>
            </w:pPr>
          </w:p>
        </w:tc>
      </w:tr>
      <w:tr w:rsidR="00E81826">
        <w:tc>
          <w:tcPr>
            <w:tcW w:w="5211" w:type="dxa"/>
          </w:tcPr>
          <w:p w:rsidR="00E81826" w:rsidRDefault="00E81826">
            <w:pPr>
              <w:spacing w:after="120"/>
              <w:rPr>
                <w:rFonts w:eastAsia="Calibri"/>
                <w:b/>
                <w:bCs/>
                <w:sz w:val="22"/>
                <w:szCs w:val="22"/>
                <w:lang w:eastAsia="en-US"/>
              </w:rPr>
            </w:pPr>
            <w:r>
              <w:rPr>
                <w:rFonts w:eastAsia="Calibri"/>
                <w:bCs/>
                <w:sz w:val="22"/>
                <w:szCs w:val="22"/>
                <w:lang w:eastAsia="en-US"/>
              </w:rPr>
              <w:t xml:space="preserve">Opere edili </w:t>
            </w:r>
          </w:p>
        </w:tc>
        <w:tc>
          <w:tcPr>
            <w:tcW w:w="1985" w:type="dxa"/>
          </w:tcPr>
          <w:p w:rsidR="00E81826" w:rsidRDefault="00E81826">
            <w:pPr>
              <w:spacing w:after="120"/>
              <w:jc w:val="both"/>
              <w:rPr>
                <w:rFonts w:eastAsia="Calibri"/>
                <w:b/>
                <w:bCs/>
                <w:sz w:val="22"/>
                <w:szCs w:val="22"/>
                <w:lang w:eastAsia="en-US"/>
              </w:rPr>
            </w:pPr>
            <w:r>
              <w:rPr>
                <w:rFonts w:eastAsia="Calibri"/>
                <w:bCs/>
                <w:sz w:val="22"/>
                <w:szCs w:val="22"/>
                <w:lang w:eastAsia="en-US"/>
              </w:rPr>
              <w:t>€     1.702.003,09</w:t>
            </w:r>
          </w:p>
        </w:tc>
        <w:tc>
          <w:tcPr>
            <w:tcW w:w="1866" w:type="dxa"/>
          </w:tcPr>
          <w:p w:rsidR="00E81826" w:rsidRDefault="00E81826">
            <w:pPr>
              <w:spacing w:after="120"/>
              <w:jc w:val="both"/>
              <w:rPr>
                <w:rFonts w:eastAsia="Calibri"/>
                <w:b/>
                <w:bCs/>
                <w:sz w:val="22"/>
                <w:szCs w:val="22"/>
                <w:lang w:eastAsia="en-US"/>
              </w:rPr>
            </w:pPr>
          </w:p>
        </w:tc>
      </w:tr>
      <w:tr w:rsidR="00E81826">
        <w:tc>
          <w:tcPr>
            <w:tcW w:w="5211" w:type="dxa"/>
          </w:tcPr>
          <w:p w:rsidR="00E81826" w:rsidRDefault="00E81826">
            <w:pPr>
              <w:spacing w:after="120"/>
              <w:jc w:val="both"/>
              <w:rPr>
                <w:rFonts w:eastAsia="Calibri"/>
                <w:b/>
                <w:bCs/>
                <w:sz w:val="22"/>
                <w:szCs w:val="22"/>
                <w:lang w:eastAsia="en-US"/>
              </w:rPr>
            </w:pPr>
            <w:r>
              <w:rPr>
                <w:rFonts w:eastAsia="Calibri"/>
                <w:bCs/>
                <w:sz w:val="22"/>
                <w:szCs w:val="22"/>
                <w:lang w:eastAsia="en-US"/>
              </w:rPr>
              <w:t>Opere per la sicurezza</w:t>
            </w:r>
          </w:p>
        </w:tc>
        <w:tc>
          <w:tcPr>
            <w:tcW w:w="1985" w:type="dxa"/>
          </w:tcPr>
          <w:p w:rsidR="00E81826" w:rsidRDefault="00E81826">
            <w:pPr>
              <w:spacing w:after="120"/>
              <w:jc w:val="both"/>
              <w:rPr>
                <w:rFonts w:eastAsia="Calibri"/>
                <w:b/>
                <w:bCs/>
                <w:sz w:val="22"/>
                <w:szCs w:val="22"/>
                <w:lang w:eastAsia="en-US"/>
              </w:rPr>
            </w:pPr>
            <w:r>
              <w:rPr>
                <w:rFonts w:eastAsia="Calibri"/>
                <w:bCs/>
                <w:sz w:val="22"/>
                <w:szCs w:val="22"/>
                <w:lang w:eastAsia="en-US"/>
              </w:rPr>
              <w:t>€          90.035,96</w:t>
            </w:r>
          </w:p>
        </w:tc>
        <w:tc>
          <w:tcPr>
            <w:tcW w:w="1866" w:type="dxa"/>
          </w:tcPr>
          <w:p w:rsidR="00E81826" w:rsidRDefault="00E81826">
            <w:pPr>
              <w:spacing w:after="120"/>
              <w:jc w:val="both"/>
              <w:rPr>
                <w:rFonts w:eastAsia="Calibri"/>
                <w:b/>
                <w:bCs/>
                <w:sz w:val="22"/>
                <w:szCs w:val="22"/>
                <w:lang w:eastAsia="en-US"/>
              </w:rPr>
            </w:pPr>
          </w:p>
        </w:tc>
      </w:tr>
      <w:tr w:rsidR="00E81826">
        <w:tc>
          <w:tcPr>
            <w:tcW w:w="5211" w:type="dxa"/>
          </w:tcPr>
          <w:p w:rsidR="00E81826" w:rsidRDefault="00E81826">
            <w:pPr>
              <w:spacing w:after="120"/>
              <w:jc w:val="both"/>
              <w:rPr>
                <w:rFonts w:eastAsia="Calibri"/>
                <w:b/>
                <w:bCs/>
                <w:sz w:val="22"/>
                <w:szCs w:val="22"/>
                <w:lang w:eastAsia="en-US"/>
              </w:rPr>
            </w:pPr>
            <w:r>
              <w:rPr>
                <w:rFonts w:eastAsia="Calibri"/>
                <w:bCs/>
                <w:sz w:val="22"/>
                <w:szCs w:val="22"/>
                <w:lang w:eastAsia="en-US"/>
              </w:rPr>
              <w:t>SOMMANO</w:t>
            </w:r>
          </w:p>
        </w:tc>
        <w:tc>
          <w:tcPr>
            <w:tcW w:w="1985" w:type="dxa"/>
          </w:tcPr>
          <w:p w:rsidR="00E81826" w:rsidRDefault="00E81826">
            <w:pPr>
              <w:spacing w:after="120"/>
              <w:jc w:val="both"/>
              <w:rPr>
                <w:rFonts w:eastAsia="Calibri"/>
                <w:b/>
                <w:bCs/>
                <w:sz w:val="22"/>
                <w:szCs w:val="22"/>
                <w:lang w:eastAsia="en-US"/>
              </w:rPr>
            </w:pPr>
          </w:p>
        </w:tc>
        <w:tc>
          <w:tcPr>
            <w:tcW w:w="1866" w:type="dxa"/>
          </w:tcPr>
          <w:p w:rsidR="00E81826" w:rsidRDefault="00E81826">
            <w:pPr>
              <w:spacing w:after="120"/>
              <w:jc w:val="both"/>
              <w:rPr>
                <w:rFonts w:eastAsia="Calibri"/>
                <w:b/>
                <w:bCs/>
                <w:sz w:val="22"/>
                <w:szCs w:val="22"/>
                <w:lang w:eastAsia="en-US"/>
              </w:rPr>
            </w:pPr>
            <w:r>
              <w:rPr>
                <w:rFonts w:eastAsia="Calibri"/>
                <w:bCs/>
                <w:sz w:val="22"/>
                <w:szCs w:val="22"/>
                <w:lang w:eastAsia="en-US"/>
              </w:rPr>
              <w:t>€   1.792.039,05</w:t>
            </w:r>
          </w:p>
        </w:tc>
      </w:tr>
      <w:tr w:rsidR="00E81826">
        <w:tc>
          <w:tcPr>
            <w:tcW w:w="5211" w:type="dxa"/>
          </w:tcPr>
          <w:p w:rsidR="00E81826" w:rsidRDefault="00E81826">
            <w:pPr>
              <w:spacing w:after="120"/>
              <w:jc w:val="both"/>
              <w:rPr>
                <w:rFonts w:eastAsia="Calibri"/>
                <w:b/>
                <w:bCs/>
                <w:sz w:val="16"/>
                <w:szCs w:val="16"/>
                <w:lang w:eastAsia="en-US"/>
              </w:rPr>
            </w:pPr>
          </w:p>
        </w:tc>
        <w:tc>
          <w:tcPr>
            <w:tcW w:w="1985" w:type="dxa"/>
          </w:tcPr>
          <w:p w:rsidR="00E81826" w:rsidRDefault="00E81826">
            <w:pPr>
              <w:spacing w:after="120"/>
              <w:jc w:val="both"/>
              <w:rPr>
                <w:rFonts w:eastAsia="Calibri"/>
                <w:b/>
                <w:bCs/>
                <w:sz w:val="16"/>
                <w:szCs w:val="16"/>
                <w:lang w:eastAsia="en-US"/>
              </w:rPr>
            </w:pPr>
          </w:p>
        </w:tc>
        <w:tc>
          <w:tcPr>
            <w:tcW w:w="1866" w:type="dxa"/>
          </w:tcPr>
          <w:p w:rsidR="00E81826" w:rsidRDefault="00E81826">
            <w:pPr>
              <w:spacing w:after="120"/>
              <w:jc w:val="both"/>
              <w:rPr>
                <w:rFonts w:eastAsia="Calibri"/>
                <w:b/>
                <w:bCs/>
                <w:sz w:val="16"/>
                <w:szCs w:val="16"/>
                <w:lang w:eastAsia="en-US"/>
              </w:rPr>
            </w:pPr>
          </w:p>
        </w:tc>
      </w:tr>
      <w:tr w:rsidR="00E81826">
        <w:tc>
          <w:tcPr>
            <w:tcW w:w="9062" w:type="dxa"/>
            <w:gridSpan w:val="3"/>
          </w:tcPr>
          <w:p w:rsidR="00E81826" w:rsidRDefault="00E81826">
            <w:pPr>
              <w:spacing w:after="120"/>
              <w:jc w:val="both"/>
              <w:rPr>
                <w:rFonts w:eastAsia="Calibri"/>
                <w:b/>
                <w:bCs/>
                <w:sz w:val="22"/>
                <w:szCs w:val="22"/>
                <w:lang w:eastAsia="en-US"/>
              </w:rPr>
            </w:pPr>
            <w:r>
              <w:rPr>
                <w:rFonts w:eastAsia="Calibri"/>
                <w:b/>
                <w:bCs/>
                <w:sz w:val="22"/>
                <w:szCs w:val="22"/>
                <w:lang w:eastAsia="en-US"/>
              </w:rPr>
              <w:t>SOMME A DISPOSIZIONE DELL’AMMINISTRAZIONE</w:t>
            </w:r>
          </w:p>
        </w:tc>
      </w:tr>
      <w:tr w:rsidR="00E81826">
        <w:tc>
          <w:tcPr>
            <w:tcW w:w="5211" w:type="dxa"/>
          </w:tcPr>
          <w:p w:rsidR="00E81826" w:rsidRDefault="00E81826">
            <w:pPr>
              <w:spacing w:after="120"/>
              <w:jc w:val="both"/>
              <w:rPr>
                <w:rFonts w:eastAsia="Calibri"/>
                <w:b/>
                <w:bCs/>
                <w:sz w:val="22"/>
                <w:szCs w:val="22"/>
                <w:lang w:eastAsia="en-US"/>
              </w:rPr>
            </w:pPr>
            <w:r>
              <w:rPr>
                <w:rFonts w:eastAsia="Calibri"/>
                <w:bCs/>
                <w:sz w:val="22"/>
                <w:szCs w:val="22"/>
                <w:lang w:eastAsia="en-US"/>
              </w:rPr>
              <w:t>IVA 10%</w:t>
            </w:r>
          </w:p>
        </w:tc>
        <w:tc>
          <w:tcPr>
            <w:tcW w:w="1985" w:type="dxa"/>
          </w:tcPr>
          <w:p w:rsidR="00E81826" w:rsidRDefault="00E81826">
            <w:pPr>
              <w:spacing w:after="120"/>
              <w:jc w:val="both"/>
              <w:rPr>
                <w:rFonts w:eastAsia="Calibri"/>
                <w:b/>
                <w:bCs/>
                <w:sz w:val="22"/>
                <w:szCs w:val="22"/>
                <w:lang w:eastAsia="en-US"/>
              </w:rPr>
            </w:pPr>
            <w:r>
              <w:rPr>
                <w:rFonts w:eastAsia="Calibri"/>
                <w:bCs/>
                <w:sz w:val="22"/>
                <w:szCs w:val="22"/>
                <w:lang w:eastAsia="en-US"/>
              </w:rPr>
              <w:t>€        179.203,91</w:t>
            </w:r>
          </w:p>
        </w:tc>
        <w:tc>
          <w:tcPr>
            <w:tcW w:w="1866" w:type="dxa"/>
          </w:tcPr>
          <w:p w:rsidR="00E81826" w:rsidRDefault="00E81826">
            <w:pPr>
              <w:spacing w:after="120"/>
              <w:jc w:val="both"/>
              <w:rPr>
                <w:rFonts w:eastAsia="Calibri"/>
                <w:b/>
                <w:bCs/>
                <w:sz w:val="22"/>
                <w:szCs w:val="22"/>
                <w:lang w:eastAsia="en-US"/>
              </w:rPr>
            </w:pPr>
          </w:p>
        </w:tc>
      </w:tr>
      <w:tr w:rsidR="00E81826">
        <w:tc>
          <w:tcPr>
            <w:tcW w:w="5211" w:type="dxa"/>
          </w:tcPr>
          <w:p w:rsidR="00E81826" w:rsidRDefault="00E81826">
            <w:pPr>
              <w:spacing w:after="120"/>
              <w:jc w:val="both"/>
              <w:rPr>
                <w:rFonts w:eastAsia="Calibri"/>
                <w:bCs/>
                <w:sz w:val="22"/>
                <w:szCs w:val="22"/>
                <w:lang w:eastAsia="en-US"/>
              </w:rPr>
            </w:pPr>
            <w:r>
              <w:rPr>
                <w:rFonts w:eastAsia="Calibri"/>
                <w:bCs/>
                <w:sz w:val="22"/>
                <w:szCs w:val="22"/>
                <w:lang w:eastAsia="en-US"/>
              </w:rPr>
              <w:t>Somme già liquidate al 31.07.2019</w:t>
            </w:r>
          </w:p>
        </w:tc>
        <w:tc>
          <w:tcPr>
            <w:tcW w:w="1985" w:type="dxa"/>
          </w:tcPr>
          <w:p w:rsidR="00E81826" w:rsidRDefault="00E81826">
            <w:pPr>
              <w:spacing w:after="120"/>
              <w:jc w:val="both"/>
              <w:rPr>
                <w:rFonts w:eastAsia="Calibri"/>
                <w:b/>
                <w:bCs/>
                <w:sz w:val="22"/>
                <w:szCs w:val="22"/>
                <w:lang w:eastAsia="en-US"/>
              </w:rPr>
            </w:pPr>
            <w:r>
              <w:rPr>
                <w:rFonts w:eastAsia="Calibri"/>
                <w:bCs/>
                <w:sz w:val="22"/>
                <w:szCs w:val="22"/>
                <w:lang w:eastAsia="en-US"/>
              </w:rPr>
              <w:t>€        281.614,04</w:t>
            </w:r>
          </w:p>
        </w:tc>
        <w:tc>
          <w:tcPr>
            <w:tcW w:w="1866" w:type="dxa"/>
          </w:tcPr>
          <w:p w:rsidR="00E81826" w:rsidRDefault="00E81826">
            <w:pPr>
              <w:spacing w:after="120"/>
              <w:jc w:val="both"/>
              <w:rPr>
                <w:rFonts w:eastAsia="Calibri"/>
                <w:b/>
                <w:bCs/>
                <w:sz w:val="22"/>
                <w:szCs w:val="22"/>
                <w:lang w:eastAsia="en-US"/>
              </w:rPr>
            </w:pPr>
          </w:p>
        </w:tc>
      </w:tr>
      <w:tr w:rsidR="00E81826">
        <w:tc>
          <w:tcPr>
            <w:tcW w:w="5211" w:type="dxa"/>
          </w:tcPr>
          <w:p w:rsidR="00E81826" w:rsidRDefault="00E81826">
            <w:pPr>
              <w:spacing w:after="120"/>
              <w:jc w:val="both"/>
              <w:rPr>
                <w:rFonts w:eastAsia="Calibri"/>
                <w:b/>
                <w:bCs/>
                <w:sz w:val="22"/>
                <w:szCs w:val="22"/>
                <w:lang w:eastAsia="en-US"/>
              </w:rPr>
            </w:pPr>
            <w:r>
              <w:rPr>
                <w:rFonts w:eastAsia="Calibri"/>
                <w:bCs/>
                <w:sz w:val="22"/>
                <w:szCs w:val="22"/>
                <w:lang w:eastAsia="en-US"/>
              </w:rPr>
              <w:t>Altre spese tecniche (IVA e oneri compresi)</w:t>
            </w:r>
          </w:p>
        </w:tc>
        <w:tc>
          <w:tcPr>
            <w:tcW w:w="1985" w:type="dxa"/>
          </w:tcPr>
          <w:p w:rsidR="00E81826" w:rsidRDefault="00E81826">
            <w:pPr>
              <w:spacing w:after="120"/>
              <w:jc w:val="both"/>
              <w:rPr>
                <w:rFonts w:eastAsia="Calibri"/>
                <w:b/>
                <w:bCs/>
                <w:sz w:val="22"/>
                <w:szCs w:val="22"/>
                <w:lang w:eastAsia="en-US"/>
              </w:rPr>
            </w:pPr>
            <w:r>
              <w:rPr>
                <w:rFonts w:eastAsia="Calibri"/>
                <w:bCs/>
                <w:sz w:val="22"/>
                <w:szCs w:val="22"/>
                <w:lang w:eastAsia="en-US"/>
              </w:rPr>
              <w:t>€          80.000,00</w:t>
            </w:r>
          </w:p>
        </w:tc>
        <w:tc>
          <w:tcPr>
            <w:tcW w:w="1866" w:type="dxa"/>
          </w:tcPr>
          <w:p w:rsidR="00E81826" w:rsidRDefault="00E81826">
            <w:pPr>
              <w:spacing w:after="120"/>
              <w:jc w:val="both"/>
              <w:rPr>
                <w:rFonts w:eastAsia="Calibri"/>
                <w:b/>
                <w:bCs/>
                <w:sz w:val="22"/>
                <w:szCs w:val="22"/>
                <w:lang w:eastAsia="en-US"/>
              </w:rPr>
            </w:pPr>
          </w:p>
        </w:tc>
      </w:tr>
      <w:tr w:rsidR="00E81826">
        <w:tc>
          <w:tcPr>
            <w:tcW w:w="5211" w:type="dxa"/>
          </w:tcPr>
          <w:p w:rsidR="00E81826" w:rsidRDefault="00E81826">
            <w:pPr>
              <w:spacing w:after="120"/>
              <w:jc w:val="both"/>
              <w:rPr>
                <w:rFonts w:eastAsia="Calibri"/>
                <w:b/>
                <w:bCs/>
                <w:sz w:val="22"/>
                <w:szCs w:val="22"/>
                <w:lang w:eastAsia="en-US"/>
              </w:rPr>
            </w:pPr>
            <w:r>
              <w:rPr>
                <w:rFonts w:eastAsia="Calibri"/>
                <w:bCs/>
                <w:sz w:val="22"/>
                <w:szCs w:val="22"/>
                <w:lang w:eastAsia="en-US"/>
              </w:rPr>
              <w:t>Imprevisti (IVA compresa)</w:t>
            </w:r>
          </w:p>
        </w:tc>
        <w:tc>
          <w:tcPr>
            <w:tcW w:w="1985" w:type="dxa"/>
          </w:tcPr>
          <w:p w:rsidR="00E81826" w:rsidRDefault="00E81826">
            <w:pPr>
              <w:spacing w:after="120"/>
              <w:jc w:val="both"/>
              <w:rPr>
                <w:rFonts w:eastAsia="Calibri"/>
                <w:b/>
                <w:bCs/>
                <w:sz w:val="22"/>
                <w:szCs w:val="22"/>
                <w:lang w:eastAsia="en-US"/>
              </w:rPr>
            </w:pPr>
            <w:r>
              <w:rPr>
                <w:rFonts w:eastAsia="Calibri"/>
                <w:bCs/>
                <w:sz w:val="22"/>
                <w:szCs w:val="22"/>
                <w:lang w:eastAsia="en-US"/>
              </w:rPr>
              <w:t>€          17.143,00</w:t>
            </w:r>
          </w:p>
        </w:tc>
        <w:tc>
          <w:tcPr>
            <w:tcW w:w="1866" w:type="dxa"/>
          </w:tcPr>
          <w:p w:rsidR="00E81826" w:rsidRDefault="00E81826">
            <w:pPr>
              <w:spacing w:after="120"/>
              <w:jc w:val="both"/>
              <w:rPr>
                <w:rFonts w:eastAsia="Calibri"/>
                <w:b/>
                <w:bCs/>
                <w:sz w:val="22"/>
                <w:szCs w:val="22"/>
                <w:lang w:eastAsia="en-US"/>
              </w:rPr>
            </w:pPr>
          </w:p>
        </w:tc>
      </w:tr>
      <w:tr w:rsidR="00E81826">
        <w:tc>
          <w:tcPr>
            <w:tcW w:w="5211" w:type="dxa"/>
          </w:tcPr>
          <w:p w:rsidR="00E81826" w:rsidRDefault="00E81826">
            <w:pPr>
              <w:spacing w:after="120"/>
              <w:jc w:val="both"/>
              <w:rPr>
                <w:rFonts w:eastAsia="Calibri"/>
                <w:b/>
                <w:bCs/>
                <w:sz w:val="22"/>
                <w:szCs w:val="22"/>
                <w:lang w:eastAsia="en-US"/>
              </w:rPr>
            </w:pPr>
            <w:r>
              <w:rPr>
                <w:rFonts w:eastAsia="Calibri"/>
                <w:b/>
                <w:bCs/>
                <w:sz w:val="22"/>
                <w:szCs w:val="22"/>
                <w:lang w:eastAsia="en-US"/>
              </w:rPr>
              <w:t>SOMMANO SOMME A DISPOSIZIONE</w:t>
            </w:r>
          </w:p>
        </w:tc>
        <w:tc>
          <w:tcPr>
            <w:tcW w:w="1985" w:type="dxa"/>
          </w:tcPr>
          <w:p w:rsidR="00E81826" w:rsidRDefault="00E81826">
            <w:pPr>
              <w:spacing w:after="120"/>
              <w:jc w:val="both"/>
              <w:rPr>
                <w:rFonts w:eastAsia="Calibri"/>
                <w:b/>
                <w:bCs/>
                <w:sz w:val="22"/>
                <w:szCs w:val="22"/>
                <w:lang w:eastAsia="en-US"/>
              </w:rPr>
            </w:pPr>
          </w:p>
        </w:tc>
        <w:tc>
          <w:tcPr>
            <w:tcW w:w="1866" w:type="dxa"/>
          </w:tcPr>
          <w:p w:rsidR="00E81826" w:rsidRDefault="00E81826">
            <w:pPr>
              <w:spacing w:after="120"/>
              <w:jc w:val="both"/>
              <w:rPr>
                <w:rFonts w:eastAsia="Calibri"/>
                <w:b/>
                <w:bCs/>
                <w:sz w:val="22"/>
                <w:szCs w:val="22"/>
                <w:lang w:eastAsia="en-US"/>
              </w:rPr>
            </w:pPr>
            <w:r>
              <w:rPr>
                <w:rFonts w:eastAsia="Calibri"/>
                <w:bCs/>
                <w:sz w:val="22"/>
                <w:szCs w:val="22"/>
                <w:lang w:eastAsia="en-US"/>
              </w:rPr>
              <w:t>€      557.960,95</w:t>
            </w:r>
          </w:p>
        </w:tc>
      </w:tr>
      <w:tr w:rsidR="00E81826">
        <w:tc>
          <w:tcPr>
            <w:tcW w:w="5211" w:type="dxa"/>
          </w:tcPr>
          <w:p w:rsidR="00E81826" w:rsidRDefault="00E81826">
            <w:pPr>
              <w:spacing w:after="120"/>
              <w:jc w:val="both"/>
              <w:rPr>
                <w:rFonts w:eastAsia="Calibri"/>
                <w:b/>
                <w:bCs/>
                <w:sz w:val="16"/>
                <w:szCs w:val="16"/>
                <w:lang w:eastAsia="en-US"/>
              </w:rPr>
            </w:pPr>
          </w:p>
        </w:tc>
        <w:tc>
          <w:tcPr>
            <w:tcW w:w="1985" w:type="dxa"/>
          </w:tcPr>
          <w:p w:rsidR="00E81826" w:rsidRDefault="00E81826">
            <w:pPr>
              <w:spacing w:after="120"/>
              <w:jc w:val="both"/>
              <w:rPr>
                <w:rFonts w:eastAsia="Calibri"/>
                <w:b/>
                <w:bCs/>
                <w:sz w:val="16"/>
                <w:szCs w:val="16"/>
                <w:lang w:eastAsia="en-US"/>
              </w:rPr>
            </w:pPr>
          </w:p>
        </w:tc>
        <w:tc>
          <w:tcPr>
            <w:tcW w:w="1866" w:type="dxa"/>
          </w:tcPr>
          <w:p w:rsidR="00E81826" w:rsidRDefault="00E81826">
            <w:pPr>
              <w:spacing w:after="120"/>
              <w:jc w:val="both"/>
              <w:rPr>
                <w:rFonts w:eastAsia="Calibri"/>
                <w:b/>
                <w:bCs/>
                <w:sz w:val="16"/>
                <w:szCs w:val="16"/>
                <w:lang w:eastAsia="en-US"/>
              </w:rPr>
            </w:pPr>
          </w:p>
        </w:tc>
      </w:tr>
      <w:tr w:rsidR="00E81826">
        <w:tc>
          <w:tcPr>
            <w:tcW w:w="7196" w:type="dxa"/>
            <w:gridSpan w:val="2"/>
          </w:tcPr>
          <w:p w:rsidR="00E81826" w:rsidRDefault="00E81826">
            <w:pPr>
              <w:spacing w:after="120"/>
              <w:jc w:val="both"/>
              <w:rPr>
                <w:rFonts w:eastAsia="Calibri"/>
                <w:b/>
                <w:bCs/>
                <w:sz w:val="22"/>
                <w:szCs w:val="22"/>
                <w:lang w:eastAsia="en-US"/>
              </w:rPr>
            </w:pPr>
            <w:r>
              <w:rPr>
                <w:rFonts w:eastAsia="Calibri"/>
                <w:b/>
                <w:bCs/>
                <w:sz w:val="22"/>
                <w:szCs w:val="22"/>
                <w:lang w:eastAsia="en-US"/>
              </w:rPr>
              <w:t>TOTALE GENERALE</w:t>
            </w:r>
          </w:p>
        </w:tc>
        <w:tc>
          <w:tcPr>
            <w:tcW w:w="1866" w:type="dxa"/>
          </w:tcPr>
          <w:p w:rsidR="00E81826" w:rsidRDefault="00E81826">
            <w:pPr>
              <w:spacing w:after="120"/>
              <w:jc w:val="both"/>
              <w:rPr>
                <w:rFonts w:eastAsia="Calibri"/>
                <w:b/>
                <w:bCs/>
                <w:sz w:val="22"/>
                <w:szCs w:val="22"/>
                <w:lang w:eastAsia="en-US"/>
              </w:rPr>
            </w:pPr>
            <w:r>
              <w:rPr>
                <w:rFonts w:eastAsia="Calibri"/>
                <w:b/>
                <w:bCs/>
                <w:sz w:val="22"/>
                <w:szCs w:val="22"/>
                <w:lang w:eastAsia="en-US"/>
              </w:rPr>
              <w:t>€   2.350.000,00</w:t>
            </w:r>
          </w:p>
        </w:tc>
      </w:tr>
    </w:tbl>
    <w:p w:rsidR="00E81826" w:rsidRDefault="00E81826">
      <w:pPr>
        <w:autoSpaceDE w:val="0"/>
        <w:autoSpaceDN w:val="0"/>
        <w:adjustRightInd w:val="0"/>
        <w:jc w:val="both"/>
        <w:rPr>
          <w:rFonts w:ascii="Arial" w:eastAsia="MS Mincho" w:hAnsi="Arial" w:cs="Arial"/>
          <w:sz w:val="16"/>
          <w:szCs w:val="16"/>
          <w:lang w:eastAsia="en-US"/>
        </w:rPr>
      </w:pPr>
    </w:p>
    <w:p w:rsidR="00E81826" w:rsidRDefault="00E81826">
      <w:pPr>
        <w:autoSpaceDE w:val="0"/>
        <w:autoSpaceDN w:val="0"/>
        <w:adjustRightInd w:val="0"/>
        <w:spacing w:before="60" w:after="80"/>
        <w:jc w:val="both"/>
        <w:rPr>
          <w:rFonts w:ascii="Arial" w:eastAsia="Calibri" w:hAnsi="Arial" w:cs="Arial"/>
          <w:color w:val="000000"/>
          <w:sz w:val="23"/>
          <w:szCs w:val="24"/>
          <w:lang w:eastAsia="en-US"/>
        </w:rPr>
      </w:pPr>
      <w:r>
        <w:rPr>
          <w:rFonts w:ascii="Arial" w:eastAsia="Calibri" w:hAnsi="Arial" w:cs="Arial"/>
          <w:bCs/>
          <w:color w:val="000000"/>
          <w:sz w:val="23"/>
          <w:szCs w:val="24"/>
          <w:lang w:eastAsia="en-US"/>
        </w:rPr>
        <w:lastRenderedPageBreak/>
        <w:t>Richiamati altresì:</w:t>
      </w:r>
    </w:p>
    <w:p w:rsidR="00E81826" w:rsidRDefault="00E81826">
      <w:pPr>
        <w:numPr>
          <w:ilvl w:val="0"/>
          <w:numId w:val="8"/>
        </w:numPr>
        <w:autoSpaceDE w:val="0"/>
        <w:autoSpaceDN w:val="0"/>
        <w:adjustRightInd w:val="0"/>
        <w:spacing w:after="80"/>
        <w:ind w:left="284" w:hanging="284"/>
        <w:jc w:val="both"/>
        <w:rPr>
          <w:rFonts w:ascii="Arial" w:eastAsia="Calibri" w:hAnsi="Arial" w:cs="Arial"/>
          <w:color w:val="000000"/>
          <w:sz w:val="23"/>
          <w:szCs w:val="24"/>
          <w:lang w:eastAsia="en-US"/>
        </w:rPr>
      </w:pPr>
      <w:r>
        <w:rPr>
          <w:rFonts w:ascii="Arial" w:eastAsia="Calibri" w:hAnsi="Arial" w:cs="Arial"/>
          <w:color w:val="000000"/>
          <w:sz w:val="23"/>
          <w:szCs w:val="24"/>
          <w:lang w:eastAsia="en-US"/>
        </w:rPr>
        <w:t>l'art. 1, comma 32 della Legge 06/11/2012, n. 190 (c.d. “Legge Anticorruzione”) che prevede l'obbligo per le Stazioni Appaltanti di pubblicare sul proprio sito WEB i dati salienti relativi agli affidamenti di lavori, forniture e servizi in tabelle rese liberamente scaricabili in formato digitale standard aperto;</w:t>
      </w:r>
    </w:p>
    <w:p w:rsidR="00E81826" w:rsidRDefault="00E81826">
      <w:pPr>
        <w:numPr>
          <w:ilvl w:val="1"/>
          <w:numId w:val="8"/>
        </w:numPr>
        <w:autoSpaceDE w:val="0"/>
        <w:autoSpaceDN w:val="0"/>
        <w:adjustRightInd w:val="0"/>
        <w:spacing w:after="160"/>
        <w:ind w:left="284" w:hanging="284"/>
        <w:jc w:val="both"/>
        <w:rPr>
          <w:rFonts w:ascii="Arial" w:eastAsia="Calibri" w:hAnsi="Arial" w:cs="Arial"/>
          <w:color w:val="000000"/>
          <w:sz w:val="23"/>
          <w:szCs w:val="24"/>
          <w:lang w:eastAsia="en-US"/>
        </w:rPr>
      </w:pPr>
      <w:r>
        <w:rPr>
          <w:rFonts w:ascii="Arial" w:eastAsia="Calibri" w:hAnsi="Arial" w:cs="Arial"/>
          <w:color w:val="000000"/>
          <w:sz w:val="23"/>
          <w:szCs w:val="24"/>
          <w:lang w:eastAsia="en-US"/>
        </w:rPr>
        <w:t>il D.Lgs. 14/03/2013 n. 33 “Riordino della disciplina riguardante gli obblighi di pubblicità, trasparenza e diffusione di informazioni da parte delle pubbliche amministrazioni” ed in particolare l'art. 37;</w:t>
      </w:r>
    </w:p>
    <w:p w:rsidR="00E81826" w:rsidRDefault="00E81826">
      <w:pPr>
        <w:autoSpaceDE w:val="0"/>
        <w:autoSpaceDN w:val="0"/>
        <w:adjustRightInd w:val="0"/>
        <w:spacing w:before="120" w:after="120"/>
        <w:jc w:val="both"/>
        <w:rPr>
          <w:rFonts w:ascii="Arial" w:eastAsia="Calibri" w:hAnsi="Arial" w:cs="Arial"/>
          <w:sz w:val="23"/>
          <w:szCs w:val="24"/>
          <w:lang w:eastAsia="en-US"/>
        </w:rPr>
      </w:pPr>
      <w:r>
        <w:rPr>
          <w:rFonts w:ascii="Arial" w:eastAsia="Calibri" w:hAnsi="Arial" w:cs="Arial"/>
          <w:bCs/>
          <w:sz w:val="23"/>
          <w:szCs w:val="24"/>
          <w:lang w:eastAsia="en-US"/>
        </w:rPr>
        <w:t>Dato atto</w:t>
      </w:r>
      <w:r>
        <w:rPr>
          <w:rFonts w:ascii="Arial" w:eastAsia="Calibri" w:hAnsi="Arial" w:cs="Arial"/>
          <w:b/>
          <w:bCs/>
          <w:sz w:val="23"/>
          <w:szCs w:val="24"/>
          <w:lang w:eastAsia="en-US"/>
        </w:rPr>
        <w:t xml:space="preserve"> </w:t>
      </w:r>
      <w:r>
        <w:rPr>
          <w:rFonts w:ascii="Arial" w:eastAsia="Calibri" w:hAnsi="Arial" w:cs="Arial"/>
          <w:sz w:val="23"/>
          <w:szCs w:val="24"/>
          <w:lang w:eastAsia="en-US"/>
        </w:rPr>
        <w:t>che per il procedimento di cui trattasi non sussistono in capo al RUP e Segretario Generale elementi riconducibili alla fattispecie del conflitto di interessi, neppure potenziale, come contemplato dal DPR n. 62/2013 (Regolamento recante codice di comportamento dei dipendenti pubblici, a norma dell'art. 54 del Decreto Legislativo 30/03/2001 n. 165) e dal Codice di Comportamento dei dipendenti adottato da questa Amministrazione;</w:t>
      </w:r>
    </w:p>
    <w:p w:rsidR="00E81826" w:rsidRDefault="00E81826">
      <w:pPr>
        <w:pStyle w:val="Rientrocorpodeltesto2"/>
        <w:spacing w:before="0" w:after="120"/>
        <w:ind w:firstLine="0"/>
        <w:rPr>
          <w:rFonts w:cs="Arial"/>
          <w:sz w:val="23"/>
        </w:rPr>
      </w:pPr>
      <w:r>
        <w:rPr>
          <w:rFonts w:cs="Arial"/>
          <w:sz w:val="23"/>
        </w:rPr>
        <w:t>Accertata la necessaria disponibilità nel budget direzionale 2019;</w:t>
      </w:r>
    </w:p>
    <w:p w:rsidR="00E81826" w:rsidRDefault="00E81826">
      <w:pPr>
        <w:pStyle w:val="Rientrocorpodeltesto2"/>
        <w:spacing w:before="0" w:after="120"/>
        <w:ind w:firstLine="0"/>
        <w:rPr>
          <w:rFonts w:cs="Arial"/>
          <w:sz w:val="23"/>
        </w:rPr>
      </w:pPr>
      <w:r>
        <w:rPr>
          <w:rFonts w:cs="Arial"/>
          <w:sz w:val="23"/>
        </w:rPr>
        <w:t>Visto il DPR  2 novembre 2005, n. 254;</w:t>
      </w:r>
    </w:p>
    <w:p w:rsidR="00E81826" w:rsidRDefault="00E81826">
      <w:pPr>
        <w:pStyle w:val="Rientrocorpodeltesto2"/>
        <w:spacing w:before="0" w:after="120"/>
        <w:ind w:firstLine="0"/>
        <w:rPr>
          <w:rFonts w:cs="Arial"/>
          <w:sz w:val="23"/>
        </w:rPr>
      </w:pPr>
      <w:r>
        <w:rPr>
          <w:rFonts w:cs="Arial"/>
          <w:sz w:val="23"/>
        </w:rPr>
        <w:t>Visto il parere favorevole del responsabile del procedimento ai sensi della L. n. 241/1990 s.m.i.;</w:t>
      </w:r>
    </w:p>
    <w:p w:rsidR="00E81826" w:rsidRDefault="00E81826">
      <w:pPr>
        <w:autoSpaceDE w:val="0"/>
        <w:autoSpaceDN w:val="0"/>
        <w:adjustRightInd w:val="0"/>
        <w:spacing w:before="120"/>
        <w:jc w:val="both"/>
        <w:rPr>
          <w:rFonts w:ascii="Arial" w:eastAsia="Calibri" w:hAnsi="Arial" w:cs="Arial"/>
          <w:sz w:val="23"/>
          <w:szCs w:val="24"/>
          <w:lang w:eastAsia="en-US"/>
        </w:rPr>
      </w:pPr>
      <w:r>
        <w:rPr>
          <w:rFonts w:ascii="Arial" w:eastAsia="Calibri" w:hAnsi="Arial" w:cs="Arial"/>
          <w:sz w:val="23"/>
          <w:szCs w:val="24"/>
          <w:lang w:eastAsia="en-US"/>
        </w:rPr>
        <w:t xml:space="preserve">Tutto ciò premesso il Segretario Generale assume la seguente </w:t>
      </w:r>
    </w:p>
    <w:p w:rsidR="00E81826" w:rsidRDefault="00E81826">
      <w:pPr>
        <w:pStyle w:val="Rientrocorpodeltesto"/>
        <w:jc w:val="center"/>
        <w:rPr>
          <w:u w:val="none"/>
        </w:rPr>
      </w:pPr>
    </w:p>
    <w:p w:rsidR="00E81826" w:rsidRDefault="00E81826">
      <w:pPr>
        <w:pStyle w:val="Rientrocorpodeltesto"/>
        <w:jc w:val="center"/>
        <w:rPr>
          <w:b/>
          <w:bCs/>
          <w:u w:val="none"/>
        </w:rPr>
      </w:pPr>
      <w:r>
        <w:rPr>
          <w:b/>
          <w:bCs/>
          <w:u w:val="none"/>
        </w:rPr>
        <w:t>d e t e r m i n a</w:t>
      </w:r>
    </w:p>
    <w:p w:rsidR="00E81826" w:rsidRDefault="00E81826">
      <w:pPr>
        <w:pStyle w:val="Rientrocorpodeltesto"/>
        <w:jc w:val="center"/>
        <w:rPr>
          <w:u w:val="none"/>
        </w:rPr>
      </w:pPr>
    </w:p>
    <w:p w:rsidR="00E81826" w:rsidRDefault="00E81826">
      <w:pPr>
        <w:numPr>
          <w:ilvl w:val="0"/>
          <w:numId w:val="12"/>
        </w:numPr>
        <w:tabs>
          <w:tab w:val="left" w:pos="426"/>
        </w:tabs>
        <w:suppressAutoHyphens/>
        <w:spacing w:after="120"/>
        <w:ind w:left="425" w:hanging="425"/>
        <w:jc w:val="both"/>
        <w:rPr>
          <w:rFonts w:ascii="Arial" w:eastAsia="Calibri" w:hAnsi="Arial" w:cs="Arial"/>
          <w:sz w:val="23"/>
          <w:szCs w:val="22"/>
          <w:lang w:eastAsia="ar-SA"/>
        </w:rPr>
      </w:pPr>
      <w:r>
        <w:rPr>
          <w:rFonts w:ascii="Arial" w:eastAsia="Calibri" w:hAnsi="Arial" w:cs="Arial"/>
          <w:sz w:val="23"/>
          <w:szCs w:val="22"/>
          <w:lang w:eastAsia="en-US"/>
        </w:rPr>
        <w:t>le premesse formano presupposto, condizione essenziale e parte integrante e sostanziale del presente provvedimento;</w:t>
      </w:r>
    </w:p>
    <w:p w:rsidR="00E81826" w:rsidRDefault="00E81826">
      <w:pPr>
        <w:numPr>
          <w:ilvl w:val="0"/>
          <w:numId w:val="12"/>
        </w:numPr>
        <w:autoSpaceDE w:val="0"/>
        <w:autoSpaceDN w:val="0"/>
        <w:adjustRightInd w:val="0"/>
        <w:spacing w:after="240"/>
        <w:ind w:left="425" w:hanging="357"/>
        <w:jc w:val="both"/>
        <w:rPr>
          <w:rFonts w:ascii="Arial" w:eastAsia="Calibri" w:hAnsi="Arial" w:cs="Arial"/>
          <w:sz w:val="23"/>
          <w:szCs w:val="22"/>
          <w:lang w:eastAsia="ar-SA"/>
        </w:rPr>
      </w:pPr>
      <w:r>
        <w:rPr>
          <w:rFonts w:ascii="Arial" w:eastAsia="Calibri" w:hAnsi="Arial" w:cs="Arial"/>
          <w:sz w:val="23"/>
          <w:szCs w:val="22"/>
          <w:lang w:eastAsia="ar-SA"/>
        </w:rPr>
        <w:t xml:space="preserve">di approvare </w:t>
      </w:r>
      <w:r>
        <w:rPr>
          <w:rFonts w:ascii="Arial" w:eastAsia="Calibri" w:hAnsi="Arial" w:cs="Arial"/>
          <w:color w:val="000000"/>
          <w:sz w:val="23"/>
          <w:szCs w:val="22"/>
          <w:lang w:eastAsia="en-US"/>
        </w:rPr>
        <w:t>la perizia suppletiva e di variante al progetto “</w:t>
      </w:r>
      <w:r>
        <w:rPr>
          <w:rFonts w:ascii="Arial" w:eastAsia="Calibri" w:hAnsi="Arial" w:cs="Arial"/>
          <w:snapToGrid w:val="0"/>
          <w:sz w:val="23"/>
          <w:szCs w:val="22"/>
          <w:lang w:eastAsia="en-US"/>
        </w:rPr>
        <w:t>Risanamento conservativo dell'edificio camerale di via S. Nicolò n. 7 in Trieste</w:t>
      </w:r>
      <w:r>
        <w:rPr>
          <w:rFonts w:ascii="Arial" w:eastAsia="Calibri" w:hAnsi="Arial" w:cs="Arial"/>
          <w:color w:val="000000"/>
          <w:sz w:val="23"/>
          <w:szCs w:val="22"/>
          <w:lang w:eastAsia="en-US"/>
        </w:rPr>
        <w:t xml:space="preserve">” CUP E93F12000060005 trasmessa dal D.L. arch. Lorenzo Gasperini, </w:t>
      </w:r>
      <w:r>
        <w:rPr>
          <w:rFonts w:ascii="Arial" w:eastAsia="Calibri" w:hAnsi="Arial" w:cs="Arial"/>
          <w:sz w:val="23"/>
          <w:szCs w:val="22"/>
          <w:lang w:eastAsia="en-US"/>
        </w:rPr>
        <w:t>composta degli elaborati richiamati in premessa, agli atti dell’ufficio,</w:t>
      </w:r>
      <w:r>
        <w:rPr>
          <w:rFonts w:ascii="Arial" w:eastAsia="Calibri" w:hAnsi="Arial" w:cs="Arial"/>
          <w:color w:val="000000"/>
          <w:sz w:val="23"/>
          <w:szCs w:val="22"/>
          <w:lang w:eastAsia="en-US"/>
        </w:rPr>
        <w:t xml:space="preserve"> dell’importo globale di Euro 179.239,39 sull’importo dei lavori come indicato in narrativa, dando atto che l’importo contrattuale netto dei lavori affidati al Consorzio Integra Soc. Coop. (consorziata esecutrice dei lavori ICI Coop. Soc. Coop. Con sede legale in Via J. Srebernic n. 17 a Ronchi dei Legionari n. 17- PI/CF 00162760318) passa da Euro 1.603.264,70 (di cui Euro 1.522.763,70 per lavori + Euro 80.501,00 per oneri sicurezza) ad Euro </w:t>
      </w:r>
      <w:r>
        <w:rPr>
          <w:rFonts w:ascii="Arial" w:eastAsia="Calibri" w:hAnsi="Arial" w:cs="Arial"/>
          <w:bCs/>
          <w:sz w:val="23"/>
          <w:szCs w:val="22"/>
          <w:lang w:eastAsia="en-US"/>
        </w:rPr>
        <w:t>1.792.039,05</w:t>
      </w:r>
      <w:r>
        <w:rPr>
          <w:rFonts w:ascii="Arial" w:eastAsia="Calibri" w:hAnsi="Arial" w:cs="Arial"/>
          <w:color w:val="000000"/>
          <w:sz w:val="23"/>
          <w:szCs w:val="22"/>
          <w:lang w:eastAsia="en-US"/>
        </w:rPr>
        <w:t xml:space="preserve"> (di cui Euro 1.702.003,09 per lavori + Euro 90.035,96 per oneri della sicurezza);</w:t>
      </w:r>
    </w:p>
    <w:p w:rsidR="00E81826" w:rsidRDefault="00E81826">
      <w:pPr>
        <w:numPr>
          <w:ilvl w:val="0"/>
          <w:numId w:val="12"/>
        </w:numPr>
        <w:spacing w:before="120" w:after="120"/>
        <w:ind w:left="426" w:hanging="426"/>
        <w:jc w:val="both"/>
        <w:rPr>
          <w:rFonts w:ascii="Arial" w:eastAsia="Calibri" w:hAnsi="Arial" w:cs="Arial"/>
          <w:sz w:val="23"/>
          <w:szCs w:val="22"/>
          <w:lang w:eastAsia="en-US"/>
        </w:rPr>
      </w:pPr>
      <w:r>
        <w:rPr>
          <w:rFonts w:ascii="Arial" w:eastAsia="Calibri" w:hAnsi="Arial" w:cs="Arial"/>
          <w:sz w:val="23"/>
          <w:szCs w:val="22"/>
          <w:lang w:eastAsia="en-US"/>
        </w:rPr>
        <w:t>di dare atto che l’atto di sottomissione, dal quale risulta un concordamento di n. 10 nuovi prezzi, è firmato dall’Impresa appaltatrice, dal Direttore dei lavori; nonché dal Responsabile del Procedimento;</w:t>
      </w:r>
    </w:p>
    <w:p w:rsidR="00E81826" w:rsidRDefault="00E81826">
      <w:pPr>
        <w:numPr>
          <w:ilvl w:val="0"/>
          <w:numId w:val="12"/>
        </w:numPr>
        <w:autoSpaceDE w:val="0"/>
        <w:autoSpaceDN w:val="0"/>
        <w:adjustRightInd w:val="0"/>
        <w:spacing w:before="120" w:after="120"/>
        <w:ind w:left="425" w:hanging="357"/>
        <w:jc w:val="both"/>
        <w:rPr>
          <w:rFonts w:ascii="Arial" w:eastAsia="Calibri" w:hAnsi="Arial" w:cs="Arial"/>
          <w:sz w:val="23"/>
          <w:szCs w:val="22"/>
          <w:lang w:eastAsia="ar-SA"/>
        </w:rPr>
      </w:pPr>
      <w:r>
        <w:rPr>
          <w:rFonts w:ascii="Arial" w:eastAsia="Calibri" w:hAnsi="Arial" w:cs="Arial"/>
          <w:sz w:val="23"/>
          <w:szCs w:val="22"/>
          <w:lang w:eastAsia="ar-SA"/>
        </w:rPr>
        <w:t xml:space="preserve">di affidare al </w:t>
      </w:r>
      <w:r>
        <w:rPr>
          <w:rFonts w:ascii="Arial" w:eastAsia="Calibri" w:hAnsi="Arial" w:cs="Arial"/>
          <w:color w:val="000000"/>
          <w:sz w:val="23"/>
          <w:szCs w:val="22"/>
          <w:lang w:eastAsia="en-US"/>
        </w:rPr>
        <w:t xml:space="preserve">Consorzio Integra Soc. Coop. (consorziata esecutrice dei lavori ICI Coop. Soc. Coop. Con sede legale in Via J. Srebernic n. 17 a Ronchi dei Legionari n. 17- PI/CF 00162760318), l’esecuzione dei lavori suppletivi per l’importo di Euro </w:t>
      </w:r>
      <w:r>
        <w:rPr>
          <w:rFonts w:ascii="Arial" w:eastAsia="Calibri" w:hAnsi="Arial" w:cs="Arial"/>
          <w:color w:val="000000"/>
          <w:sz w:val="23"/>
          <w:szCs w:val="24"/>
          <w:lang w:eastAsia="en-US"/>
        </w:rPr>
        <w:t xml:space="preserve">Euro </w:t>
      </w:r>
      <w:r>
        <w:rPr>
          <w:rFonts w:ascii="Arial" w:eastAsia="Calibri" w:hAnsi="Arial" w:cs="Arial"/>
          <w:sz w:val="23"/>
          <w:szCs w:val="24"/>
          <w:lang w:eastAsia="en-US"/>
        </w:rPr>
        <w:t xml:space="preserve">179.239,39 (nuovo importo contrattuale di Euro </w:t>
      </w:r>
      <w:r>
        <w:rPr>
          <w:rFonts w:ascii="Arial" w:eastAsia="Calibri" w:hAnsi="Arial" w:cs="Arial"/>
          <w:color w:val="000000"/>
          <w:sz w:val="23"/>
          <w:szCs w:val="22"/>
          <w:lang w:eastAsia="en-US"/>
        </w:rPr>
        <w:t>1.792.039,05, IVA esclusa) agli stessi patti e condizioni di cui al contratto principale concedendo proroga al termine di ultimazione dei lavori di 434 giorni naturali consecutivi, con nuova scadenza dei termini contrattuali al 31 marzo 2020;</w:t>
      </w:r>
    </w:p>
    <w:p w:rsidR="00E81826" w:rsidRDefault="00E81826">
      <w:pPr>
        <w:autoSpaceDE w:val="0"/>
        <w:autoSpaceDN w:val="0"/>
        <w:adjustRightInd w:val="0"/>
        <w:spacing w:before="120" w:after="120"/>
        <w:ind w:left="425"/>
        <w:jc w:val="both"/>
        <w:rPr>
          <w:rFonts w:ascii="Arial" w:eastAsia="Calibri" w:hAnsi="Arial" w:cs="Arial"/>
          <w:sz w:val="16"/>
          <w:szCs w:val="16"/>
          <w:lang w:eastAsia="ar-SA"/>
        </w:rPr>
      </w:pPr>
    </w:p>
    <w:p w:rsidR="00E81826" w:rsidRDefault="00E81826">
      <w:pPr>
        <w:numPr>
          <w:ilvl w:val="0"/>
          <w:numId w:val="12"/>
        </w:numPr>
        <w:autoSpaceDE w:val="0"/>
        <w:autoSpaceDN w:val="0"/>
        <w:adjustRightInd w:val="0"/>
        <w:spacing w:before="120" w:after="120"/>
        <w:ind w:left="425" w:hanging="357"/>
        <w:jc w:val="both"/>
        <w:rPr>
          <w:rFonts w:ascii="Arial" w:eastAsia="Calibri" w:hAnsi="Arial" w:cs="Arial"/>
          <w:sz w:val="23"/>
          <w:szCs w:val="22"/>
          <w:lang w:eastAsia="ar-SA"/>
        </w:rPr>
      </w:pPr>
      <w:r>
        <w:rPr>
          <w:rFonts w:ascii="Arial" w:eastAsia="Calibri" w:hAnsi="Arial" w:cs="Arial"/>
          <w:sz w:val="23"/>
          <w:szCs w:val="22"/>
          <w:lang w:eastAsia="ar-SA"/>
        </w:rPr>
        <w:t xml:space="preserve">di approvare il nuovo </w:t>
      </w:r>
      <w:r>
        <w:rPr>
          <w:rFonts w:ascii="Arial" w:eastAsia="Calibri" w:hAnsi="Arial" w:cs="Arial"/>
          <w:color w:val="000000"/>
          <w:sz w:val="23"/>
          <w:szCs w:val="22"/>
          <w:lang w:eastAsia="en-US"/>
        </w:rPr>
        <w:t xml:space="preserve">quadro economico di spesa, la relativa esigibilità delle spese e copertura finanziaria come da stesso quadro economico riportato in premessa per l’importo complessivo di Euro 2.350.000,00, rispetto al quadro in ultimo approvato con determinazione n. 484 dd. 13 settembre 2019:  </w:t>
      </w:r>
    </w:p>
    <w:p w:rsidR="00E81826" w:rsidRDefault="00E81826">
      <w:pPr>
        <w:autoSpaceDE w:val="0"/>
        <w:autoSpaceDN w:val="0"/>
        <w:adjustRightInd w:val="0"/>
        <w:spacing w:before="60" w:after="160"/>
        <w:jc w:val="both"/>
        <w:rPr>
          <w:rFonts w:ascii="Arial" w:eastAsia="Calibri" w:hAnsi="Arial" w:cs="Arial"/>
          <w:color w:val="000000"/>
          <w:sz w:val="16"/>
          <w:szCs w:val="16"/>
          <w:lang w:eastAsia="en-US"/>
        </w:rPr>
      </w:pPr>
    </w:p>
    <w:p w:rsidR="00E81826" w:rsidRDefault="00E81826">
      <w:pPr>
        <w:spacing w:after="160"/>
        <w:ind w:left="1416" w:firstLine="708"/>
        <w:rPr>
          <w:rFonts w:ascii="Arial" w:eastAsia="Calibri" w:hAnsi="Arial" w:cs="Arial"/>
          <w:b/>
          <w:bCs/>
          <w:sz w:val="23"/>
          <w:szCs w:val="24"/>
          <w:lang w:eastAsia="en-US"/>
        </w:rPr>
      </w:pPr>
      <w:r>
        <w:rPr>
          <w:rFonts w:ascii="Arial" w:eastAsia="Calibri" w:hAnsi="Arial" w:cs="Arial"/>
          <w:b/>
          <w:bCs/>
          <w:sz w:val="23"/>
          <w:szCs w:val="24"/>
          <w:lang w:eastAsia="en-US"/>
        </w:rPr>
        <w:t>Quadro Economico di Perizia n. 1</w:t>
      </w:r>
    </w:p>
    <w:tbl>
      <w:tblPr>
        <w:tblW w:w="0" w:type="auto"/>
        <w:tblLook w:val="04A0" w:firstRow="1" w:lastRow="0" w:firstColumn="1" w:lastColumn="0" w:noHBand="0" w:noVBand="1"/>
      </w:tblPr>
      <w:tblGrid>
        <w:gridCol w:w="5211"/>
        <w:gridCol w:w="1985"/>
        <w:gridCol w:w="1866"/>
      </w:tblGrid>
      <w:tr w:rsidR="00E81826">
        <w:tc>
          <w:tcPr>
            <w:tcW w:w="5211" w:type="dxa"/>
          </w:tcPr>
          <w:p w:rsidR="00E81826" w:rsidRDefault="00E81826">
            <w:pPr>
              <w:spacing w:after="120"/>
              <w:jc w:val="both"/>
              <w:rPr>
                <w:rFonts w:ascii="Arial" w:eastAsia="Calibri" w:hAnsi="Arial" w:cs="Arial"/>
                <w:b/>
                <w:bCs/>
                <w:sz w:val="23"/>
                <w:szCs w:val="22"/>
                <w:lang w:eastAsia="en-US"/>
              </w:rPr>
            </w:pPr>
            <w:r>
              <w:rPr>
                <w:rFonts w:ascii="Arial" w:eastAsia="Calibri" w:hAnsi="Arial" w:cs="Arial"/>
                <w:b/>
                <w:bCs/>
                <w:sz w:val="23"/>
                <w:szCs w:val="22"/>
                <w:lang w:eastAsia="en-US"/>
              </w:rPr>
              <w:t>LAVORI</w:t>
            </w:r>
          </w:p>
        </w:tc>
        <w:tc>
          <w:tcPr>
            <w:tcW w:w="1985" w:type="dxa"/>
          </w:tcPr>
          <w:p w:rsidR="00E81826" w:rsidRDefault="00E81826">
            <w:pPr>
              <w:spacing w:after="120"/>
              <w:jc w:val="both"/>
              <w:rPr>
                <w:rFonts w:ascii="Arial" w:eastAsia="Calibri" w:hAnsi="Arial" w:cs="Arial"/>
                <w:b/>
                <w:bCs/>
                <w:sz w:val="22"/>
                <w:szCs w:val="22"/>
                <w:lang w:eastAsia="en-US"/>
              </w:rPr>
            </w:pPr>
          </w:p>
        </w:tc>
        <w:tc>
          <w:tcPr>
            <w:tcW w:w="1866" w:type="dxa"/>
          </w:tcPr>
          <w:p w:rsidR="00E81826" w:rsidRDefault="00E81826">
            <w:pPr>
              <w:spacing w:after="120"/>
              <w:jc w:val="both"/>
              <w:rPr>
                <w:rFonts w:ascii="Arial" w:eastAsia="Calibri" w:hAnsi="Arial" w:cs="Arial"/>
                <w:b/>
                <w:bCs/>
                <w:sz w:val="22"/>
                <w:szCs w:val="22"/>
                <w:lang w:eastAsia="en-US"/>
              </w:rPr>
            </w:pPr>
          </w:p>
        </w:tc>
      </w:tr>
      <w:tr w:rsidR="00E81826">
        <w:tc>
          <w:tcPr>
            <w:tcW w:w="5211" w:type="dxa"/>
          </w:tcPr>
          <w:p w:rsidR="00E81826" w:rsidRDefault="00E81826">
            <w:pPr>
              <w:spacing w:after="120"/>
              <w:rPr>
                <w:rFonts w:ascii="Arial" w:eastAsia="Calibri" w:hAnsi="Arial" w:cs="Arial"/>
                <w:b/>
                <w:bCs/>
                <w:sz w:val="23"/>
                <w:szCs w:val="22"/>
                <w:lang w:eastAsia="en-US"/>
              </w:rPr>
            </w:pPr>
            <w:r>
              <w:rPr>
                <w:rFonts w:ascii="Arial" w:eastAsia="Calibri" w:hAnsi="Arial" w:cs="Arial"/>
                <w:bCs/>
                <w:sz w:val="23"/>
                <w:szCs w:val="22"/>
                <w:lang w:eastAsia="en-US"/>
              </w:rPr>
              <w:t xml:space="preserve">Opere edili </w:t>
            </w:r>
          </w:p>
        </w:tc>
        <w:tc>
          <w:tcPr>
            <w:tcW w:w="1985" w:type="dxa"/>
          </w:tcPr>
          <w:p w:rsidR="00E81826" w:rsidRDefault="00E81826">
            <w:pPr>
              <w:spacing w:after="120"/>
              <w:jc w:val="both"/>
              <w:rPr>
                <w:rFonts w:ascii="Arial" w:eastAsia="Calibri" w:hAnsi="Arial" w:cs="Arial"/>
                <w:b/>
                <w:bCs/>
                <w:sz w:val="22"/>
                <w:szCs w:val="22"/>
                <w:lang w:eastAsia="en-US"/>
              </w:rPr>
            </w:pPr>
            <w:r>
              <w:rPr>
                <w:rFonts w:ascii="Arial" w:eastAsia="Calibri" w:hAnsi="Arial" w:cs="Arial"/>
                <w:bCs/>
                <w:sz w:val="22"/>
                <w:szCs w:val="22"/>
                <w:lang w:eastAsia="en-US"/>
              </w:rPr>
              <w:t>€     1.702.003,09</w:t>
            </w:r>
          </w:p>
        </w:tc>
        <w:tc>
          <w:tcPr>
            <w:tcW w:w="1866" w:type="dxa"/>
          </w:tcPr>
          <w:p w:rsidR="00E81826" w:rsidRDefault="00E81826">
            <w:pPr>
              <w:spacing w:after="120"/>
              <w:jc w:val="both"/>
              <w:rPr>
                <w:rFonts w:ascii="Arial" w:eastAsia="Calibri" w:hAnsi="Arial" w:cs="Arial"/>
                <w:b/>
                <w:bCs/>
                <w:sz w:val="22"/>
                <w:szCs w:val="22"/>
                <w:lang w:eastAsia="en-US"/>
              </w:rPr>
            </w:pPr>
          </w:p>
        </w:tc>
      </w:tr>
      <w:tr w:rsidR="00E81826">
        <w:tc>
          <w:tcPr>
            <w:tcW w:w="5211" w:type="dxa"/>
          </w:tcPr>
          <w:p w:rsidR="00E81826" w:rsidRDefault="00E81826">
            <w:pPr>
              <w:spacing w:after="120"/>
              <w:jc w:val="both"/>
              <w:rPr>
                <w:rFonts w:ascii="Arial" w:eastAsia="Calibri" w:hAnsi="Arial" w:cs="Arial"/>
                <w:b/>
                <w:bCs/>
                <w:sz w:val="23"/>
                <w:szCs w:val="22"/>
                <w:lang w:eastAsia="en-US"/>
              </w:rPr>
            </w:pPr>
            <w:r>
              <w:rPr>
                <w:rFonts w:ascii="Arial" w:eastAsia="Calibri" w:hAnsi="Arial" w:cs="Arial"/>
                <w:bCs/>
                <w:sz w:val="23"/>
                <w:szCs w:val="22"/>
                <w:lang w:eastAsia="en-US"/>
              </w:rPr>
              <w:t>Opere per la sicurezza</w:t>
            </w:r>
          </w:p>
        </w:tc>
        <w:tc>
          <w:tcPr>
            <w:tcW w:w="1985" w:type="dxa"/>
          </w:tcPr>
          <w:p w:rsidR="00E81826" w:rsidRDefault="00E81826">
            <w:pPr>
              <w:spacing w:after="120"/>
              <w:jc w:val="both"/>
              <w:rPr>
                <w:rFonts w:ascii="Arial" w:eastAsia="Calibri" w:hAnsi="Arial" w:cs="Arial"/>
                <w:b/>
                <w:bCs/>
                <w:sz w:val="22"/>
                <w:szCs w:val="22"/>
                <w:lang w:eastAsia="en-US"/>
              </w:rPr>
            </w:pPr>
            <w:r>
              <w:rPr>
                <w:rFonts w:ascii="Arial" w:eastAsia="Calibri" w:hAnsi="Arial" w:cs="Arial"/>
                <w:bCs/>
                <w:sz w:val="22"/>
                <w:szCs w:val="22"/>
                <w:lang w:eastAsia="en-US"/>
              </w:rPr>
              <w:t>€          90.035,96</w:t>
            </w:r>
          </w:p>
        </w:tc>
        <w:tc>
          <w:tcPr>
            <w:tcW w:w="1866" w:type="dxa"/>
          </w:tcPr>
          <w:p w:rsidR="00E81826" w:rsidRDefault="00E81826">
            <w:pPr>
              <w:spacing w:after="120"/>
              <w:jc w:val="both"/>
              <w:rPr>
                <w:rFonts w:ascii="Arial" w:eastAsia="Calibri" w:hAnsi="Arial" w:cs="Arial"/>
                <w:b/>
                <w:bCs/>
                <w:sz w:val="22"/>
                <w:szCs w:val="22"/>
                <w:lang w:eastAsia="en-US"/>
              </w:rPr>
            </w:pPr>
          </w:p>
        </w:tc>
      </w:tr>
      <w:tr w:rsidR="00E81826">
        <w:tc>
          <w:tcPr>
            <w:tcW w:w="5211" w:type="dxa"/>
          </w:tcPr>
          <w:p w:rsidR="00E81826" w:rsidRDefault="00E81826">
            <w:pPr>
              <w:spacing w:after="120"/>
              <w:jc w:val="both"/>
              <w:rPr>
                <w:rFonts w:ascii="Arial" w:eastAsia="Calibri" w:hAnsi="Arial" w:cs="Arial"/>
                <w:b/>
                <w:bCs/>
                <w:sz w:val="23"/>
                <w:szCs w:val="22"/>
                <w:lang w:eastAsia="en-US"/>
              </w:rPr>
            </w:pPr>
            <w:r>
              <w:rPr>
                <w:rFonts w:ascii="Arial" w:eastAsia="Calibri" w:hAnsi="Arial" w:cs="Arial"/>
                <w:bCs/>
                <w:sz w:val="23"/>
                <w:szCs w:val="22"/>
                <w:lang w:eastAsia="en-US"/>
              </w:rPr>
              <w:t>SOMMANO</w:t>
            </w:r>
          </w:p>
        </w:tc>
        <w:tc>
          <w:tcPr>
            <w:tcW w:w="1985" w:type="dxa"/>
          </w:tcPr>
          <w:p w:rsidR="00E81826" w:rsidRDefault="00E81826">
            <w:pPr>
              <w:spacing w:after="120"/>
              <w:jc w:val="both"/>
              <w:rPr>
                <w:rFonts w:ascii="Arial" w:eastAsia="Calibri" w:hAnsi="Arial" w:cs="Arial"/>
                <w:b/>
                <w:bCs/>
                <w:sz w:val="22"/>
                <w:szCs w:val="22"/>
                <w:lang w:eastAsia="en-US"/>
              </w:rPr>
            </w:pPr>
          </w:p>
        </w:tc>
        <w:tc>
          <w:tcPr>
            <w:tcW w:w="1866" w:type="dxa"/>
          </w:tcPr>
          <w:p w:rsidR="00E81826" w:rsidRDefault="00E81826">
            <w:pPr>
              <w:spacing w:after="120"/>
              <w:jc w:val="both"/>
              <w:rPr>
                <w:rFonts w:ascii="Arial" w:eastAsia="Calibri" w:hAnsi="Arial" w:cs="Arial"/>
                <w:b/>
                <w:bCs/>
                <w:sz w:val="22"/>
                <w:szCs w:val="22"/>
                <w:lang w:eastAsia="en-US"/>
              </w:rPr>
            </w:pPr>
            <w:r>
              <w:rPr>
                <w:rFonts w:ascii="Arial" w:eastAsia="Calibri" w:hAnsi="Arial" w:cs="Arial"/>
                <w:bCs/>
                <w:sz w:val="22"/>
                <w:szCs w:val="22"/>
                <w:lang w:eastAsia="en-US"/>
              </w:rPr>
              <w:t>€   1.792.039,05</w:t>
            </w:r>
          </w:p>
        </w:tc>
      </w:tr>
      <w:tr w:rsidR="00E81826">
        <w:tc>
          <w:tcPr>
            <w:tcW w:w="5211" w:type="dxa"/>
          </w:tcPr>
          <w:p w:rsidR="00E81826" w:rsidRDefault="00E81826">
            <w:pPr>
              <w:spacing w:after="120"/>
              <w:jc w:val="both"/>
              <w:rPr>
                <w:rFonts w:ascii="Arial" w:eastAsia="Calibri" w:hAnsi="Arial" w:cs="Arial"/>
                <w:b/>
                <w:bCs/>
                <w:sz w:val="16"/>
                <w:szCs w:val="16"/>
                <w:lang w:eastAsia="en-US"/>
              </w:rPr>
            </w:pPr>
          </w:p>
        </w:tc>
        <w:tc>
          <w:tcPr>
            <w:tcW w:w="1985" w:type="dxa"/>
          </w:tcPr>
          <w:p w:rsidR="00E81826" w:rsidRDefault="00E81826">
            <w:pPr>
              <w:spacing w:after="120"/>
              <w:jc w:val="both"/>
              <w:rPr>
                <w:rFonts w:ascii="Arial" w:eastAsia="Calibri" w:hAnsi="Arial" w:cs="Arial"/>
                <w:b/>
                <w:bCs/>
                <w:sz w:val="16"/>
                <w:szCs w:val="16"/>
                <w:lang w:eastAsia="en-US"/>
              </w:rPr>
            </w:pPr>
          </w:p>
        </w:tc>
        <w:tc>
          <w:tcPr>
            <w:tcW w:w="1866" w:type="dxa"/>
          </w:tcPr>
          <w:p w:rsidR="00E81826" w:rsidRDefault="00E81826">
            <w:pPr>
              <w:spacing w:after="120"/>
              <w:jc w:val="both"/>
              <w:rPr>
                <w:rFonts w:ascii="Arial" w:eastAsia="Calibri" w:hAnsi="Arial" w:cs="Arial"/>
                <w:b/>
                <w:bCs/>
                <w:sz w:val="16"/>
                <w:szCs w:val="16"/>
                <w:lang w:eastAsia="en-US"/>
              </w:rPr>
            </w:pPr>
          </w:p>
        </w:tc>
      </w:tr>
      <w:tr w:rsidR="00E81826">
        <w:tc>
          <w:tcPr>
            <w:tcW w:w="9062" w:type="dxa"/>
            <w:gridSpan w:val="3"/>
          </w:tcPr>
          <w:p w:rsidR="00E81826" w:rsidRDefault="00E81826">
            <w:pPr>
              <w:spacing w:after="120"/>
              <w:jc w:val="both"/>
              <w:rPr>
                <w:rFonts w:ascii="Arial" w:eastAsia="Calibri" w:hAnsi="Arial" w:cs="Arial"/>
                <w:b/>
                <w:bCs/>
                <w:sz w:val="22"/>
                <w:szCs w:val="22"/>
                <w:lang w:eastAsia="en-US"/>
              </w:rPr>
            </w:pPr>
            <w:r>
              <w:rPr>
                <w:rFonts w:ascii="Arial" w:eastAsia="Calibri" w:hAnsi="Arial" w:cs="Arial"/>
                <w:b/>
                <w:bCs/>
                <w:sz w:val="22"/>
                <w:szCs w:val="22"/>
                <w:lang w:eastAsia="en-US"/>
              </w:rPr>
              <w:t>SOMME A DISPOSIZIONE DELL’AMMINISTRAZIONE</w:t>
            </w:r>
          </w:p>
        </w:tc>
      </w:tr>
      <w:tr w:rsidR="00E81826">
        <w:tc>
          <w:tcPr>
            <w:tcW w:w="5211" w:type="dxa"/>
          </w:tcPr>
          <w:p w:rsidR="00E81826" w:rsidRDefault="00E81826">
            <w:pPr>
              <w:spacing w:after="120"/>
              <w:jc w:val="both"/>
              <w:rPr>
                <w:rFonts w:ascii="Arial" w:eastAsia="Calibri" w:hAnsi="Arial" w:cs="Arial"/>
                <w:b/>
                <w:bCs/>
                <w:sz w:val="23"/>
                <w:szCs w:val="22"/>
                <w:lang w:eastAsia="en-US"/>
              </w:rPr>
            </w:pPr>
            <w:r>
              <w:rPr>
                <w:rFonts w:ascii="Arial" w:eastAsia="Calibri" w:hAnsi="Arial" w:cs="Arial"/>
                <w:bCs/>
                <w:sz w:val="23"/>
                <w:szCs w:val="22"/>
                <w:lang w:eastAsia="en-US"/>
              </w:rPr>
              <w:t>IVA 10%</w:t>
            </w:r>
          </w:p>
        </w:tc>
        <w:tc>
          <w:tcPr>
            <w:tcW w:w="1985" w:type="dxa"/>
          </w:tcPr>
          <w:p w:rsidR="00E81826" w:rsidRDefault="00E81826">
            <w:pPr>
              <w:spacing w:after="120"/>
              <w:jc w:val="both"/>
              <w:rPr>
                <w:rFonts w:ascii="Arial" w:eastAsia="Calibri" w:hAnsi="Arial" w:cs="Arial"/>
                <w:b/>
                <w:bCs/>
                <w:sz w:val="22"/>
                <w:szCs w:val="22"/>
                <w:lang w:eastAsia="en-US"/>
              </w:rPr>
            </w:pPr>
            <w:r>
              <w:rPr>
                <w:rFonts w:ascii="Arial" w:eastAsia="Calibri" w:hAnsi="Arial" w:cs="Arial"/>
                <w:bCs/>
                <w:sz w:val="22"/>
                <w:szCs w:val="22"/>
                <w:lang w:eastAsia="en-US"/>
              </w:rPr>
              <w:t>€        179.203,91</w:t>
            </w:r>
          </w:p>
        </w:tc>
        <w:tc>
          <w:tcPr>
            <w:tcW w:w="1866" w:type="dxa"/>
          </w:tcPr>
          <w:p w:rsidR="00E81826" w:rsidRDefault="00E81826">
            <w:pPr>
              <w:spacing w:after="120"/>
              <w:jc w:val="both"/>
              <w:rPr>
                <w:rFonts w:ascii="Arial" w:eastAsia="Calibri" w:hAnsi="Arial" w:cs="Arial"/>
                <w:b/>
                <w:bCs/>
                <w:sz w:val="22"/>
                <w:szCs w:val="22"/>
                <w:lang w:eastAsia="en-US"/>
              </w:rPr>
            </w:pPr>
          </w:p>
        </w:tc>
      </w:tr>
      <w:tr w:rsidR="00E81826">
        <w:tc>
          <w:tcPr>
            <w:tcW w:w="5211" w:type="dxa"/>
          </w:tcPr>
          <w:p w:rsidR="00E81826" w:rsidRDefault="00E81826">
            <w:pPr>
              <w:spacing w:after="120"/>
              <w:jc w:val="both"/>
              <w:rPr>
                <w:rFonts w:ascii="Arial" w:eastAsia="Calibri" w:hAnsi="Arial" w:cs="Arial"/>
                <w:bCs/>
                <w:sz w:val="23"/>
                <w:szCs w:val="22"/>
                <w:lang w:eastAsia="en-US"/>
              </w:rPr>
            </w:pPr>
            <w:r>
              <w:rPr>
                <w:rFonts w:ascii="Arial" w:eastAsia="Calibri" w:hAnsi="Arial" w:cs="Arial"/>
                <w:bCs/>
                <w:sz w:val="23"/>
                <w:szCs w:val="22"/>
                <w:lang w:eastAsia="en-US"/>
              </w:rPr>
              <w:t>Somme già liquidate al 31.07.2019</w:t>
            </w:r>
          </w:p>
        </w:tc>
        <w:tc>
          <w:tcPr>
            <w:tcW w:w="1985" w:type="dxa"/>
          </w:tcPr>
          <w:p w:rsidR="00E81826" w:rsidRDefault="00E81826">
            <w:pPr>
              <w:spacing w:after="120"/>
              <w:jc w:val="both"/>
              <w:rPr>
                <w:rFonts w:ascii="Arial" w:eastAsia="Calibri" w:hAnsi="Arial" w:cs="Arial"/>
                <w:b/>
                <w:bCs/>
                <w:sz w:val="22"/>
                <w:szCs w:val="22"/>
                <w:lang w:eastAsia="en-US"/>
              </w:rPr>
            </w:pPr>
            <w:r>
              <w:rPr>
                <w:rFonts w:ascii="Arial" w:eastAsia="Calibri" w:hAnsi="Arial" w:cs="Arial"/>
                <w:bCs/>
                <w:sz w:val="22"/>
                <w:szCs w:val="22"/>
                <w:lang w:eastAsia="en-US"/>
              </w:rPr>
              <w:t>€        281.614,04</w:t>
            </w:r>
          </w:p>
        </w:tc>
        <w:tc>
          <w:tcPr>
            <w:tcW w:w="1866" w:type="dxa"/>
          </w:tcPr>
          <w:p w:rsidR="00E81826" w:rsidRDefault="00E81826">
            <w:pPr>
              <w:spacing w:after="120"/>
              <w:jc w:val="both"/>
              <w:rPr>
                <w:rFonts w:ascii="Arial" w:eastAsia="Calibri" w:hAnsi="Arial" w:cs="Arial"/>
                <w:b/>
                <w:bCs/>
                <w:sz w:val="22"/>
                <w:szCs w:val="22"/>
                <w:lang w:eastAsia="en-US"/>
              </w:rPr>
            </w:pPr>
          </w:p>
        </w:tc>
      </w:tr>
      <w:tr w:rsidR="00E81826">
        <w:tc>
          <w:tcPr>
            <w:tcW w:w="5211" w:type="dxa"/>
          </w:tcPr>
          <w:p w:rsidR="00E81826" w:rsidRDefault="00E81826">
            <w:pPr>
              <w:spacing w:after="120"/>
              <w:jc w:val="both"/>
              <w:rPr>
                <w:rFonts w:ascii="Arial" w:eastAsia="Calibri" w:hAnsi="Arial" w:cs="Arial"/>
                <w:b/>
                <w:bCs/>
                <w:sz w:val="23"/>
                <w:szCs w:val="22"/>
                <w:lang w:eastAsia="en-US"/>
              </w:rPr>
            </w:pPr>
            <w:r>
              <w:rPr>
                <w:rFonts w:ascii="Arial" w:eastAsia="Calibri" w:hAnsi="Arial" w:cs="Arial"/>
                <w:bCs/>
                <w:sz w:val="23"/>
                <w:szCs w:val="22"/>
                <w:lang w:eastAsia="en-US"/>
              </w:rPr>
              <w:t>Altre spese tecniche (IVA e oneri compresi)</w:t>
            </w:r>
          </w:p>
        </w:tc>
        <w:tc>
          <w:tcPr>
            <w:tcW w:w="1985" w:type="dxa"/>
          </w:tcPr>
          <w:p w:rsidR="00E81826" w:rsidRDefault="00E81826">
            <w:pPr>
              <w:spacing w:after="120"/>
              <w:jc w:val="both"/>
              <w:rPr>
                <w:rFonts w:ascii="Arial" w:eastAsia="Calibri" w:hAnsi="Arial" w:cs="Arial"/>
                <w:b/>
                <w:bCs/>
                <w:sz w:val="22"/>
                <w:szCs w:val="22"/>
                <w:lang w:eastAsia="en-US"/>
              </w:rPr>
            </w:pPr>
            <w:r>
              <w:rPr>
                <w:rFonts w:ascii="Arial" w:eastAsia="Calibri" w:hAnsi="Arial" w:cs="Arial"/>
                <w:bCs/>
                <w:sz w:val="22"/>
                <w:szCs w:val="22"/>
                <w:lang w:eastAsia="en-US"/>
              </w:rPr>
              <w:t>€          80.000,00</w:t>
            </w:r>
          </w:p>
        </w:tc>
        <w:tc>
          <w:tcPr>
            <w:tcW w:w="1866" w:type="dxa"/>
          </w:tcPr>
          <w:p w:rsidR="00E81826" w:rsidRDefault="00E81826">
            <w:pPr>
              <w:spacing w:after="120"/>
              <w:jc w:val="both"/>
              <w:rPr>
                <w:rFonts w:ascii="Arial" w:eastAsia="Calibri" w:hAnsi="Arial" w:cs="Arial"/>
                <w:b/>
                <w:bCs/>
                <w:sz w:val="22"/>
                <w:szCs w:val="22"/>
                <w:lang w:eastAsia="en-US"/>
              </w:rPr>
            </w:pPr>
          </w:p>
        </w:tc>
      </w:tr>
      <w:tr w:rsidR="00E81826">
        <w:tc>
          <w:tcPr>
            <w:tcW w:w="5211" w:type="dxa"/>
          </w:tcPr>
          <w:p w:rsidR="00E81826" w:rsidRDefault="00E81826">
            <w:pPr>
              <w:spacing w:after="120"/>
              <w:jc w:val="both"/>
              <w:rPr>
                <w:rFonts w:ascii="Arial" w:eastAsia="Calibri" w:hAnsi="Arial" w:cs="Arial"/>
                <w:b/>
                <w:bCs/>
                <w:sz w:val="23"/>
                <w:szCs w:val="22"/>
                <w:lang w:eastAsia="en-US"/>
              </w:rPr>
            </w:pPr>
            <w:r>
              <w:rPr>
                <w:rFonts w:ascii="Arial" w:eastAsia="Calibri" w:hAnsi="Arial" w:cs="Arial"/>
                <w:bCs/>
                <w:sz w:val="23"/>
                <w:szCs w:val="22"/>
                <w:lang w:eastAsia="en-US"/>
              </w:rPr>
              <w:t>Imprevisti (IVA compresa)</w:t>
            </w:r>
          </w:p>
        </w:tc>
        <w:tc>
          <w:tcPr>
            <w:tcW w:w="1985" w:type="dxa"/>
          </w:tcPr>
          <w:p w:rsidR="00E81826" w:rsidRDefault="00E81826">
            <w:pPr>
              <w:spacing w:after="120"/>
              <w:jc w:val="both"/>
              <w:rPr>
                <w:rFonts w:ascii="Arial" w:eastAsia="Calibri" w:hAnsi="Arial" w:cs="Arial"/>
                <w:b/>
                <w:bCs/>
                <w:sz w:val="22"/>
                <w:szCs w:val="22"/>
                <w:lang w:eastAsia="en-US"/>
              </w:rPr>
            </w:pPr>
            <w:r>
              <w:rPr>
                <w:rFonts w:ascii="Arial" w:eastAsia="Calibri" w:hAnsi="Arial" w:cs="Arial"/>
                <w:bCs/>
                <w:sz w:val="22"/>
                <w:szCs w:val="22"/>
                <w:lang w:eastAsia="en-US"/>
              </w:rPr>
              <w:t>€          17.143,00</w:t>
            </w:r>
          </w:p>
        </w:tc>
        <w:tc>
          <w:tcPr>
            <w:tcW w:w="1866" w:type="dxa"/>
          </w:tcPr>
          <w:p w:rsidR="00E81826" w:rsidRDefault="00E81826">
            <w:pPr>
              <w:spacing w:after="120"/>
              <w:jc w:val="both"/>
              <w:rPr>
                <w:rFonts w:ascii="Arial" w:eastAsia="Calibri" w:hAnsi="Arial" w:cs="Arial"/>
                <w:b/>
                <w:bCs/>
                <w:sz w:val="22"/>
                <w:szCs w:val="22"/>
                <w:lang w:eastAsia="en-US"/>
              </w:rPr>
            </w:pPr>
          </w:p>
        </w:tc>
      </w:tr>
      <w:tr w:rsidR="00E81826">
        <w:tc>
          <w:tcPr>
            <w:tcW w:w="5211" w:type="dxa"/>
          </w:tcPr>
          <w:p w:rsidR="00E81826" w:rsidRDefault="00E81826">
            <w:pPr>
              <w:spacing w:after="120"/>
              <w:jc w:val="both"/>
              <w:rPr>
                <w:rFonts w:ascii="Arial" w:eastAsia="Calibri" w:hAnsi="Arial" w:cs="Arial"/>
                <w:b/>
                <w:bCs/>
                <w:sz w:val="23"/>
                <w:szCs w:val="22"/>
                <w:lang w:eastAsia="en-US"/>
              </w:rPr>
            </w:pPr>
            <w:r>
              <w:rPr>
                <w:rFonts w:ascii="Arial" w:eastAsia="Calibri" w:hAnsi="Arial" w:cs="Arial"/>
                <w:b/>
                <w:bCs/>
                <w:sz w:val="23"/>
                <w:szCs w:val="22"/>
                <w:lang w:eastAsia="en-US"/>
              </w:rPr>
              <w:t>SOMMANO SOMME A DISPOSIZIONE</w:t>
            </w:r>
          </w:p>
        </w:tc>
        <w:tc>
          <w:tcPr>
            <w:tcW w:w="1985" w:type="dxa"/>
          </w:tcPr>
          <w:p w:rsidR="00E81826" w:rsidRDefault="00E81826">
            <w:pPr>
              <w:spacing w:after="120"/>
              <w:jc w:val="both"/>
              <w:rPr>
                <w:rFonts w:ascii="Arial" w:eastAsia="Calibri" w:hAnsi="Arial" w:cs="Arial"/>
                <w:b/>
                <w:bCs/>
                <w:sz w:val="22"/>
                <w:szCs w:val="22"/>
                <w:lang w:eastAsia="en-US"/>
              </w:rPr>
            </w:pPr>
          </w:p>
        </w:tc>
        <w:tc>
          <w:tcPr>
            <w:tcW w:w="1866" w:type="dxa"/>
          </w:tcPr>
          <w:p w:rsidR="00E81826" w:rsidRDefault="00E81826">
            <w:pPr>
              <w:spacing w:after="120"/>
              <w:jc w:val="both"/>
              <w:rPr>
                <w:rFonts w:ascii="Arial" w:eastAsia="Calibri" w:hAnsi="Arial" w:cs="Arial"/>
                <w:b/>
                <w:bCs/>
                <w:sz w:val="22"/>
                <w:szCs w:val="22"/>
                <w:lang w:eastAsia="en-US"/>
              </w:rPr>
            </w:pPr>
            <w:r>
              <w:rPr>
                <w:rFonts w:ascii="Arial" w:eastAsia="Calibri" w:hAnsi="Arial" w:cs="Arial"/>
                <w:bCs/>
                <w:sz w:val="22"/>
                <w:szCs w:val="22"/>
                <w:lang w:eastAsia="en-US"/>
              </w:rPr>
              <w:t>€      557.960,95</w:t>
            </w:r>
          </w:p>
        </w:tc>
      </w:tr>
      <w:tr w:rsidR="00E81826">
        <w:tc>
          <w:tcPr>
            <w:tcW w:w="5211" w:type="dxa"/>
          </w:tcPr>
          <w:p w:rsidR="00E81826" w:rsidRDefault="00E81826">
            <w:pPr>
              <w:spacing w:after="120"/>
              <w:jc w:val="both"/>
              <w:rPr>
                <w:rFonts w:ascii="Arial" w:eastAsia="Calibri" w:hAnsi="Arial" w:cs="Arial"/>
                <w:b/>
                <w:bCs/>
                <w:sz w:val="23"/>
                <w:szCs w:val="22"/>
                <w:lang w:eastAsia="en-US"/>
              </w:rPr>
            </w:pPr>
          </w:p>
        </w:tc>
        <w:tc>
          <w:tcPr>
            <w:tcW w:w="1985" w:type="dxa"/>
          </w:tcPr>
          <w:p w:rsidR="00E81826" w:rsidRDefault="00E81826">
            <w:pPr>
              <w:spacing w:after="120"/>
              <w:jc w:val="both"/>
              <w:rPr>
                <w:rFonts w:ascii="Arial" w:eastAsia="Calibri" w:hAnsi="Arial" w:cs="Arial"/>
                <w:b/>
                <w:bCs/>
                <w:sz w:val="22"/>
                <w:szCs w:val="22"/>
                <w:lang w:eastAsia="en-US"/>
              </w:rPr>
            </w:pPr>
          </w:p>
        </w:tc>
        <w:tc>
          <w:tcPr>
            <w:tcW w:w="1866" w:type="dxa"/>
          </w:tcPr>
          <w:p w:rsidR="00E81826" w:rsidRDefault="00E81826">
            <w:pPr>
              <w:spacing w:after="120"/>
              <w:jc w:val="both"/>
              <w:rPr>
                <w:rFonts w:ascii="Arial" w:eastAsia="Calibri" w:hAnsi="Arial" w:cs="Arial"/>
                <w:b/>
                <w:bCs/>
                <w:sz w:val="22"/>
                <w:szCs w:val="22"/>
                <w:lang w:eastAsia="en-US"/>
              </w:rPr>
            </w:pPr>
          </w:p>
        </w:tc>
      </w:tr>
      <w:tr w:rsidR="00E81826">
        <w:tc>
          <w:tcPr>
            <w:tcW w:w="7196" w:type="dxa"/>
            <w:gridSpan w:val="2"/>
          </w:tcPr>
          <w:p w:rsidR="00E81826" w:rsidRDefault="00E81826">
            <w:pPr>
              <w:spacing w:after="120"/>
              <w:jc w:val="both"/>
              <w:rPr>
                <w:rFonts w:ascii="Arial" w:eastAsia="Calibri" w:hAnsi="Arial" w:cs="Arial"/>
                <w:b/>
                <w:bCs/>
                <w:sz w:val="23"/>
                <w:szCs w:val="22"/>
                <w:lang w:eastAsia="en-US"/>
              </w:rPr>
            </w:pPr>
            <w:r>
              <w:rPr>
                <w:rFonts w:ascii="Arial" w:eastAsia="Calibri" w:hAnsi="Arial" w:cs="Arial"/>
                <w:b/>
                <w:bCs/>
                <w:sz w:val="23"/>
                <w:szCs w:val="22"/>
                <w:lang w:eastAsia="en-US"/>
              </w:rPr>
              <w:t>TOTALE GENERALE</w:t>
            </w:r>
          </w:p>
        </w:tc>
        <w:tc>
          <w:tcPr>
            <w:tcW w:w="1866" w:type="dxa"/>
          </w:tcPr>
          <w:p w:rsidR="00E81826" w:rsidRDefault="00E81826">
            <w:pPr>
              <w:spacing w:after="120"/>
              <w:jc w:val="both"/>
              <w:rPr>
                <w:rFonts w:ascii="Arial" w:eastAsia="Calibri" w:hAnsi="Arial" w:cs="Arial"/>
                <w:b/>
                <w:bCs/>
                <w:sz w:val="22"/>
                <w:szCs w:val="22"/>
                <w:lang w:eastAsia="en-US"/>
              </w:rPr>
            </w:pPr>
            <w:r>
              <w:rPr>
                <w:rFonts w:ascii="Arial" w:eastAsia="Calibri" w:hAnsi="Arial" w:cs="Arial"/>
                <w:b/>
                <w:bCs/>
                <w:sz w:val="22"/>
                <w:szCs w:val="22"/>
                <w:lang w:eastAsia="en-US"/>
              </w:rPr>
              <w:t>€   2.350.000,00</w:t>
            </w:r>
          </w:p>
        </w:tc>
      </w:tr>
    </w:tbl>
    <w:p w:rsidR="00E81826" w:rsidRDefault="00E81826">
      <w:pPr>
        <w:autoSpaceDE w:val="0"/>
        <w:autoSpaceDN w:val="0"/>
        <w:adjustRightInd w:val="0"/>
        <w:spacing w:before="60" w:after="160"/>
        <w:jc w:val="both"/>
        <w:rPr>
          <w:rFonts w:ascii="Arial" w:eastAsia="Calibri" w:hAnsi="Arial" w:cs="Arial"/>
          <w:color w:val="000000"/>
          <w:sz w:val="23"/>
          <w:szCs w:val="22"/>
          <w:lang w:eastAsia="en-US"/>
        </w:rPr>
      </w:pPr>
    </w:p>
    <w:p w:rsidR="00E81826" w:rsidRDefault="00E81826">
      <w:pPr>
        <w:numPr>
          <w:ilvl w:val="0"/>
          <w:numId w:val="12"/>
        </w:numPr>
        <w:autoSpaceDE w:val="0"/>
        <w:autoSpaceDN w:val="0"/>
        <w:adjustRightInd w:val="0"/>
        <w:spacing w:before="60" w:after="160"/>
        <w:ind w:left="426"/>
        <w:jc w:val="both"/>
        <w:rPr>
          <w:rFonts w:ascii="Arial" w:eastAsia="Calibri" w:hAnsi="Arial" w:cs="Arial"/>
          <w:sz w:val="23"/>
          <w:szCs w:val="22"/>
          <w:lang w:eastAsia="ar-SA"/>
        </w:rPr>
      </w:pPr>
      <w:r>
        <w:rPr>
          <w:rFonts w:ascii="Arial" w:eastAsia="Calibri" w:hAnsi="Arial" w:cs="Arial"/>
          <w:sz w:val="23"/>
          <w:szCs w:val="22"/>
          <w:lang w:eastAsia="ar-SA"/>
        </w:rPr>
        <w:t>di riservare l’impegno di spesa con prossimo provvedimento ed in ottemperanza a quanto stabilità dal C.S.A.</w:t>
      </w:r>
    </w:p>
    <w:p w:rsidR="00E81826" w:rsidRDefault="00E81826">
      <w:pPr>
        <w:autoSpaceDE w:val="0"/>
        <w:autoSpaceDN w:val="0"/>
        <w:adjustRightInd w:val="0"/>
        <w:spacing w:before="60" w:after="160"/>
        <w:ind w:left="426"/>
        <w:jc w:val="both"/>
        <w:rPr>
          <w:rFonts w:ascii="Arial" w:eastAsia="Calibri" w:hAnsi="Arial" w:cs="Arial"/>
          <w:sz w:val="23"/>
          <w:szCs w:val="22"/>
          <w:lang w:eastAsia="ar-SA"/>
        </w:rPr>
      </w:pPr>
    </w:p>
    <w:p w:rsidR="00E81826" w:rsidRDefault="00E81826">
      <w:pPr>
        <w:ind w:firstLine="851"/>
        <w:jc w:val="both"/>
        <w:rPr>
          <w:rFonts w:ascii="Arial" w:hAnsi="Arial" w:cs="Arial"/>
          <w:snapToGrid w:val="0"/>
          <w:sz w:val="23"/>
        </w:rPr>
      </w:pPr>
    </w:p>
    <w:p w:rsidR="00E81826" w:rsidRDefault="00E81826">
      <w:pPr>
        <w:spacing w:after="240"/>
        <w:ind w:left="284"/>
        <w:jc w:val="both"/>
        <w:rPr>
          <w:rFonts w:ascii="Arial" w:hAnsi="Arial"/>
          <w:snapToGrid w:val="0"/>
          <w:sz w:val="23"/>
        </w:rPr>
      </w:pPr>
      <w:r>
        <w:rPr>
          <w:rFonts w:ascii="Arial" w:hAnsi="Arial"/>
          <w:snapToGrid w:val="0"/>
          <w:sz w:val="23"/>
        </w:rPr>
        <w:t>La presente determinazione sarà pubblicata all’albo camerale informatico dell’Ente ai sensi dell’art. 62 del R.D. 20.9.1934, n. 2011 e dell’art. 32 della L. 18.6.2009, n. 69 e succ. modd. intt.</w:t>
      </w:r>
    </w:p>
    <w:p w:rsidR="00E81826" w:rsidRDefault="00E81826">
      <w:pPr>
        <w:pStyle w:val="Testo"/>
        <w:tabs>
          <w:tab w:val="clear" w:pos="4819"/>
          <w:tab w:val="clear" w:pos="9638"/>
          <w:tab w:val="right" w:pos="9072"/>
        </w:tabs>
        <w:ind w:left="284"/>
        <w:jc w:val="both"/>
        <w:rPr>
          <w:sz w:val="24"/>
        </w:rPr>
      </w:pPr>
    </w:p>
    <w:p w:rsidR="00E81826" w:rsidRDefault="00E81826">
      <w:pPr>
        <w:ind w:left="4962"/>
        <w:jc w:val="center"/>
        <w:rPr>
          <w:rFonts w:ascii="Arial" w:hAnsi="Arial" w:cs="Arial"/>
          <w:sz w:val="18"/>
        </w:rPr>
      </w:pPr>
      <w:r>
        <w:rPr>
          <w:rFonts w:ascii="Arial" w:hAnsi="Arial" w:cs="Arial"/>
          <w:b/>
          <w:sz w:val="24"/>
        </w:rPr>
        <w:t>IL SEGRETARIO GENERALE</w:t>
      </w:r>
      <w:r>
        <w:rPr>
          <w:rFonts w:ascii="Arial" w:hAnsi="Arial" w:cs="Arial"/>
          <w:b/>
          <w:sz w:val="24"/>
        </w:rPr>
        <w:br/>
      </w:r>
      <w:r>
        <w:rPr>
          <w:rFonts w:ascii="Arial" w:hAnsi="Arial" w:cs="Arial"/>
          <w:bCs/>
          <w:sz w:val="24"/>
        </w:rPr>
        <w:t>dott. Pierluigi MEDEOT</w:t>
      </w:r>
    </w:p>
    <w:p w:rsidR="00E81826" w:rsidRDefault="00E81826">
      <w:pPr>
        <w:ind w:left="240"/>
        <w:jc w:val="both"/>
        <w:rPr>
          <w:rFonts w:ascii="Arial" w:hAnsi="Arial" w:cs="Arial"/>
          <w:sz w:val="22"/>
          <w:szCs w:val="22"/>
        </w:rPr>
      </w:pPr>
      <w:bookmarkStart w:id="4" w:name="Finale"/>
      <w:bookmarkEnd w:id="4"/>
    </w:p>
    <w:p w:rsidR="00E81826" w:rsidRDefault="00E81826">
      <w:pPr>
        <w:ind w:left="240"/>
        <w:jc w:val="both"/>
        <w:rPr>
          <w:rFonts w:ascii="Arial" w:hAnsi="Arial" w:cs="Arial"/>
          <w:sz w:val="22"/>
          <w:szCs w:val="22"/>
        </w:rPr>
      </w:pPr>
      <w:r>
        <w:rPr>
          <w:rFonts w:ascii="Arial" w:hAnsi="Arial" w:cs="Arial"/>
          <w:sz w:val="22"/>
          <w:szCs w:val="22"/>
        </w:rPr>
        <w:t>Atto sottoscritto con firma digitale (artt. 20, 21, 22, 23 e 24 del D.Lgs. n. 82 del  07/03/2005 e ss.mm.ii)</w:t>
      </w:r>
    </w:p>
    <w:p w:rsidR="00E81826" w:rsidRDefault="00E81826">
      <w:pPr>
        <w:ind w:left="5670"/>
        <w:jc w:val="center"/>
        <w:rPr>
          <w:rFonts w:ascii="Arial" w:hAnsi="Arial" w:cs="Arial"/>
          <w:bCs/>
          <w:sz w:val="24"/>
        </w:rPr>
      </w:pPr>
    </w:p>
    <w:sectPr w:rsidR="00E81826">
      <w:headerReference w:type="default" r:id="rId10"/>
      <w:footerReference w:type="default" r:id="rId11"/>
      <w:headerReference w:type="first" r:id="rId12"/>
      <w:footerReference w:type="first" r:id="rId13"/>
      <w:type w:val="continuous"/>
      <w:pgSz w:w="11907" w:h="16840" w:code="9"/>
      <w:pgMar w:top="1678" w:right="1134" w:bottom="709" w:left="1701" w:header="567" w:footer="9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826" w:rsidRDefault="00E81826">
      <w:r>
        <w:separator/>
      </w:r>
    </w:p>
  </w:endnote>
  <w:endnote w:type="continuationSeparator" w:id="0">
    <w:p w:rsidR="00E81826" w:rsidRDefault="00E8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altName w:val="Trebuchet MS"/>
    <w:panose1 w:val="020B0603020204030204"/>
    <w:charset w:val="00"/>
    <w:family w:val="swiss"/>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26" w:rsidRDefault="00E81826">
    <w:pPr>
      <w:pStyle w:val="Pidipagina"/>
      <w:ind w:hanging="1276"/>
      <w:rPr>
        <w:sz w:val="12"/>
        <w:lang w:val="en-GB"/>
      </w:rPr>
    </w:pPr>
    <w:r>
      <w:rPr>
        <w:sz w:val="12"/>
        <w:lang w:val="en-GB"/>
      </w:rPr>
      <w:t>DET-SG F1 / 30.11.96 – REV.0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26" w:rsidRDefault="00E81826">
    <w:pPr>
      <w:pStyle w:val="Pidipagina"/>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26" w:rsidRDefault="00E81826">
    <w:pPr>
      <w:pStyle w:val="Pidipagina"/>
      <w:ind w:hanging="1276"/>
      <w:rPr>
        <w:sz w:val="12"/>
        <w:lang w:val="en-GB"/>
      </w:rPr>
    </w:pPr>
    <w:r>
      <w:rPr>
        <w:sz w:val="12"/>
        <w:lang w:val="en-GB"/>
      </w:rPr>
      <w:t>DET-SG F1 / 30.11.96 – REV.0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826" w:rsidRDefault="00E81826">
      <w:r>
        <w:separator/>
      </w:r>
    </w:p>
  </w:footnote>
  <w:footnote w:type="continuationSeparator" w:id="0">
    <w:p w:rsidR="00E81826" w:rsidRDefault="00E81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4" w:type="dxa"/>
      <w:tblLayout w:type="fixed"/>
      <w:tblCellMar>
        <w:left w:w="70" w:type="dxa"/>
        <w:right w:w="70" w:type="dxa"/>
      </w:tblCellMar>
      <w:tblLook w:val="0000" w:firstRow="0" w:lastRow="0" w:firstColumn="0" w:lastColumn="0" w:noHBand="0" w:noVBand="0"/>
    </w:tblPr>
    <w:tblGrid>
      <w:gridCol w:w="2410"/>
      <w:gridCol w:w="8080"/>
    </w:tblGrid>
    <w:tr w:rsidR="00E81826">
      <w:tblPrEx>
        <w:tblCellMar>
          <w:top w:w="0" w:type="dxa"/>
          <w:bottom w:w="0" w:type="dxa"/>
        </w:tblCellMar>
      </w:tblPrEx>
      <w:trPr>
        <w:trHeight w:val="991"/>
      </w:trPr>
      <w:tc>
        <w:tcPr>
          <w:tcW w:w="2410" w:type="dxa"/>
        </w:tcPr>
        <w:p w:rsidR="00E81826" w:rsidRDefault="00E81826">
          <w:pPr>
            <w:pStyle w:val="Intestazione"/>
          </w:pPr>
          <w:r>
            <w:rPr>
              <w:noProof/>
            </w:rPr>
            <w:pict>
              <v:line id="_x0000_s2049" style="position:absolute;z-index:251655680" from="145.3pt,36.25pt" to="202.15pt,36.3pt" o:allowincell="f" strokeweight="1pt">
                <v:stroke startarrowwidth="narrow" startarrowlength="short" endarrowwidth="narrow" endarrowlength="short"/>
              </v:line>
            </w:pict>
          </w:r>
          <w:r>
            <w:t xml:space="preserve">                      </w:t>
          </w:r>
          <w:r>
            <w:object w:dxaOrig="972"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9.5pt">
                <v:imagedata r:id="rId1" o:title=""/>
              </v:shape>
              <o:OLEObject Type="Embed" ProgID="Word.Document.8" ShapeID="_x0000_i1025" DrawAspect="Content" ObjectID="_1639221801" r:id="rId2"/>
            </w:object>
          </w:r>
        </w:p>
      </w:tc>
      <w:tc>
        <w:tcPr>
          <w:tcW w:w="8080" w:type="dxa"/>
        </w:tcPr>
        <w:p w:rsidR="00E81826" w:rsidRDefault="00E81826">
          <w:pPr>
            <w:pStyle w:val="Intestazione"/>
            <w:rPr>
              <w:sz w:val="18"/>
            </w:rPr>
          </w:pPr>
        </w:p>
        <w:p w:rsidR="00E81826" w:rsidRDefault="00E81826">
          <w:pPr>
            <w:pStyle w:val="Intestazione"/>
            <w:rPr>
              <w:rFonts w:ascii="Arial" w:hAnsi="Arial"/>
              <w:sz w:val="18"/>
            </w:rPr>
          </w:pPr>
          <w:r>
            <w:rPr>
              <w:rFonts w:ascii="Arial" w:hAnsi="Arial"/>
              <w:sz w:val="18"/>
            </w:rPr>
            <w:t xml:space="preserve"> CAMERA    DI    COMMERCIO    INDUSTRIA</w:t>
          </w:r>
        </w:p>
        <w:p w:rsidR="00E81826" w:rsidRDefault="00E81826">
          <w:pPr>
            <w:pStyle w:val="Intestazione"/>
            <w:rPr>
              <w:rFonts w:ascii="Arial" w:hAnsi="Arial"/>
              <w:sz w:val="18"/>
            </w:rPr>
          </w:pPr>
          <w:r>
            <w:rPr>
              <w:rFonts w:ascii="Arial" w:hAnsi="Arial"/>
              <w:sz w:val="18"/>
            </w:rPr>
            <w:t>ARTIGIANATO E  AGRICOLTURA  - TRIESTE</w:t>
          </w:r>
        </w:p>
        <w:p w:rsidR="00E81826" w:rsidRDefault="00E81826">
          <w:pPr>
            <w:pStyle w:val="Intestazione"/>
            <w:rPr>
              <w:rFonts w:ascii="Arial" w:hAnsi="Arial"/>
              <w:sz w:val="18"/>
            </w:rPr>
          </w:pPr>
          <w:r>
            <w:rPr>
              <w:rFonts w:ascii="Arial" w:hAnsi="Arial"/>
              <w:sz w:val="18"/>
            </w:rPr>
            <w:t xml:space="preserve">                                                                                                                                        </w:t>
          </w:r>
          <w:r>
            <w:rPr>
              <w:rFonts w:ascii="Arial" w:hAnsi="Arial"/>
            </w:rPr>
            <w:t>Pag. n.</w:t>
          </w:r>
          <w:r>
            <w:rPr>
              <w:rFonts w:ascii="Arial" w:hAnsi="Arial"/>
            </w:rPr>
            <w:fldChar w:fldCharType="begin"/>
          </w:r>
          <w:r>
            <w:rPr>
              <w:rFonts w:ascii="Arial" w:hAnsi="Arial"/>
            </w:rPr>
            <w:instrText xml:space="preserve"> PAGE \* ARABIC \* MERGEFORMAT </w:instrText>
          </w:r>
          <w:r>
            <w:rPr>
              <w:rFonts w:ascii="Arial" w:hAnsi="Arial"/>
            </w:rPr>
            <w:fldChar w:fldCharType="separate"/>
          </w:r>
          <w:r>
            <w:rPr>
              <w:rFonts w:ascii="Arial" w:hAnsi="Arial"/>
              <w:noProof/>
            </w:rPr>
            <w:t>2</w:t>
          </w:r>
          <w:r>
            <w:rPr>
              <w:rFonts w:ascii="Arial" w:hAnsi="Arial"/>
            </w:rPr>
            <w:fldChar w:fldCharType="end"/>
          </w:r>
        </w:p>
        <w:p w:rsidR="00E81826" w:rsidRDefault="00E81826">
          <w:pPr>
            <w:pStyle w:val="Intestazione"/>
            <w:rPr>
              <w:rFonts w:ascii="Arial" w:hAnsi="Arial"/>
              <w:sz w:val="18"/>
            </w:rPr>
          </w:pPr>
          <w:r>
            <w:rPr>
              <w:rFonts w:ascii="Arial" w:hAnsi="Arial"/>
              <w:sz w:val="18"/>
            </w:rPr>
            <w:t xml:space="preserve">               SEGRETERIA  GENERALE                            </w:t>
          </w:r>
        </w:p>
        <w:p w:rsidR="00E81826" w:rsidRDefault="00E81826">
          <w:pPr>
            <w:pStyle w:val="Intestazione"/>
            <w:rPr>
              <w:sz w:val="18"/>
            </w:rPr>
          </w:pPr>
        </w:p>
      </w:tc>
    </w:tr>
    <w:tr w:rsidR="00E81826">
      <w:tblPrEx>
        <w:tblCellMar>
          <w:top w:w="0" w:type="dxa"/>
          <w:bottom w:w="0" w:type="dxa"/>
        </w:tblCellMar>
      </w:tblPrEx>
      <w:trPr>
        <w:trHeight w:val="105"/>
      </w:trPr>
      <w:tc>
        <w:tcPr>
          <w:tcW w:w="10490" w:type="dxa"/>
          <w:gridSpan w:val="2"/>
        </w:tcPr>
        <w:p w:rsidR="00E81826" w:rsidRDefault="00E81826"/>
        <w:p w:rsidR="00E81826" w:rsidRDefault="00E81826">
          <w:pPr>
            <w:pStyle w:val="Intestazione"/>
            <w:rPr>
              <w:sz w:val="18"/>
            </w:rPr>
          </w:pPr>
          <w:r>
            <w:rPr>
              <w:rFonts w:ascii="Arial" w:hAnsi="Arial"/>
              <w:b/>
              <w:sz w:val="16"/>
            </w:rPr>
            <w:t xml:space="preserve">                         (segue)DETERMINAZIONE DEL SEGRETARIO GENERALE N</w:t>
          </w:r>
          <w:r>
            <w:rPr>
              <w:sz w:val="16"/>
            </w:rPr>
            <w:t xml:space="preserve">.  …………………………            </w:t>
          </w:r>
          <w:r>
            <w:rPr>
              <w:rFonts w:ascii="Arial" w:hAnsi="Arial"/>
              <w:sz w:val="16"/>
            </w:rPr>
            <w:t>dd</w:t>
          </w:r>
          <w:r>
            <w:rPr>
              <w:sz w:val="16"/>
            </w:rPr>
            <w:t>. ………………………………….</w:t>
          </w:r>
          <w:r>
            <w:rPr>
              <w:sz w:val="18"/>
            </w:rPr>
            <w:t xml:space="preserve"> </w:t>
          </w:r>
        </w:p>
      </w:tc>
    </w:tr>
    <w:tr w:rsidR="00E81826">
      <w:tblPrEx>
        <w:tblCellMar>
          <w:top w:w="0" w:type="dxa"/>
          <w:bottom w:w="0" w:type="dxa"/>
        </w:tblCellMar>
      </w:tblPrEx>
      <w:tc>
        <w:tcPr>
          <w:tcW w:w="10490" w:type="dxa"/>
          <w:gridSpan w:val="2"/>
          <w:tcBorders>
            <w:top w:val="single" w:sz="6" w:space="0" w:color="auto"/>
          </w:tcBorders>
        </w:tcPr>
        <w:p w:rsidR="00E81826" w:rsidRDefault="00E81826">
          <w:pPr>
            <w:ind w:right="-637"/>
          </w:pPr>
          <w:r>
            <w:rPr>
              <w:noProof/>
            </w:rPr>
            <w:pict>
              <v:line id="_x0000_s2051" style="position:absolute;z-index:251656704;mso-position-horizontal-relative:text;mso-position-vertical-relative:text" from=".2pt,3.85pt" to="1.35pt,692.8pt" o:allowincell="f" strokeweight="1pt">
                <v:stroke startarrowwidth="narrow" startarrowlength="short" endarrowwidth="narrow" endarrowlength="short"/>
              </v:line>
            </w:pict>
          </w:r>
          <w:r>
            <w:t xml:space="preserve">         </w:t>
          </w:r>
        </w:p>
      </w:tc>
    </w:tr>
  </w:tbl>
  <w:p w:rsidR="00E81826" w:rsidRDefault="00E818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26" w:rsidRDefault="00E81826">
    <w:pPr>
      <w:pStyle w:val="Intestazione"/>
      <w:rPr>
        <w:sz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pt;height:32.25pt;mso-wrap-distance-left:0;mso-wrap-distance-right:0;mso-position-horizontal-relative:margin;mso-position-vertical-relative:margin" o:allowoverlap="f" filled="t">
          <v:fill color2="black"/>
          <v:imagedata r:id="rId1" o:title=""/>
        </v:shape>
      </w:pict>
    </w:r>
  </w:p>
  <w:p w:rsidR="00E81826" w:rsidRDefault="00E81826">
    <w:pPr>
      <w:pStyle w:val="Intestazione"/>
      <w:rPr>
        <w:sz w:val="4"/>
      </w:rPr>
    </w:pPr>
  </w:p>
  <w:p w:rsidR="00E81826" w:rsidRDefault="00E81826">
    <w:pPr>
      <w:pStyle w:val="Intestazione"/>
      <w:rPr>
        <w:sz w:val="4"/>
      </w:rPr>
    </w:pPr>
  </w:p>
  <w:p w:rsidR="00E81826" w:rsidRDefault="00E81826">
    <w:pPr>
      <w:pStyle w:val="Intestazione"/>
      <w:rPr>
        <w:sz w:val="4"/>
      </w:rPr>
    </w:pPr>
  </w:p>
  <w:p w:rsidR="00E81826" w:rsidRDefault="00E81826">
    <w:pPr>
      <w:pStyle w:val="Intestazione"/>
      <w:rPr>
        <w:sz w:val="4"/>
      </w:rPr>
    </w:pPr>
  </w:p>
  <w:p w:rsidR="00E81826" w:rsidRDefault="00E81826">
    <w:pPr>
      <w:pStyle w:val="Intestazione"/>
      <w:rPr>
        <w:rFonts w:ascii="Arial" w:hAnsi="Arial" w:cs="Arial"/>
      </w:rPr>
    </w:pPr>
  </w:p>
  <w:p w:rsidR="00E81826" w:rsidRDefault="00E81826">
    <w:pPr>
      <w:pStyle w:val="Intestazione"/>
      <w:rPr>
        <w:sz w:val="4"/>
      </w:rPr>
    </w:pPr>
  </w:p>
  <w:p w:rsidR="00E81826" w:rsidRDefault="00E81826">
    <w:pPr>
      <w:pStyle w:val="Intestazione"/>
      <w:rPr>
        <w:sz w:val="4"/>
      </w:rPr>
    </w:pPr>
  </w:p>
  <w:p w:rsidR="00E81826" w:rsidRDefault="00E81826">
    <w:pPr>
      <w:pStyle w:val="Intestazione"/>
      <w:rPr>
        <w:sz w:val="4"/>
      </w:rPr>
    </w:pPr>
  </w:p>
  <w:p w:rsidR="00E81826" w:rsidRDefault="00E81826">
    <w:pPr>
      <w:tabs>
        <w:tab w:val="right" w:pos="9072"/>
      </w:tabs>
      <w:rPr>
        <w:rFonts w:ascii="Arial" w:hAnsi="Arial"/>
        <w:bCs/>
        <w:sz w:val="22"/>
      </w:rPr>
    </w:pPr>
    <w:r>
      <w:rPr>
        <w:rFonts w:ascii="Arial" w:hAnsi="Arial" w:cs="Arial"/>
        <w:b/>
        <w:sz w:val="22"/>
      </w:rPr>
      <w:t xml:space="preserve">DETERMINAZIONE DEL SEGRETARIO GENERALE   n. </w:t>
    </w:r>
    <w:bookmarkStart w:id="0" w:name="NumeroDetermina"/>
    <w:r>
      <w:rPr>
        <w:rFonts w:ascii="Arial" w:hAnsi="Arial" w:cs="Arial"/>
        <w:b/>
        <w:sz w:val="22"/>
      </w:rPr>
      <w:t>664</w:t>
    </w:r>
    <w:bookmarkEnd w:id="0"/>
    <w:r>
      <w:rPr>
        <w:rFonts w:ascii="Arial" w:hAnsi="Arial" w:cs="Arial"/>
        <w:b/>
        <w:sz w:val="22"/>
      </w:rPr>
      <w:t xml:space="preserve">  </w:t>
    </w:r>
    <w:r>
      <w:rPr>
        <w:rFonts w:ascii="Arial" w:hAnsi="Arial"/>
        <w:b/>
        <w:sz w:val="22"/>
      </w:rPr>
      <w:t xml:space="preserve">del </w:t>
    </w:r>
    <w:bookmarkStart w:id="1" w:name="DataNumerazione"/>
    <w:r>
      <w:rPr>
        <w:rFonts w:ascii="Arial" w:hAnsi="Arial"/>
        <w:b/>
        <w:sz w:val="22"/>
      </w:rPr>
      <w:t>28 novembre 2019</w:t>
    </w:r>
    <w:bookmarkEnd w:id="1"/>
    <w:r>
      <w:rPr>
        <w:rFonts w:ascii="Arial" w:hAnsi="Arial"/>
        <w:b/>
        <w:sz w:val="22"/>
      </w:rPr>
      <w:t xml:space="preserve"> </w:t>
    </w:r>
  </w:p>
  <w:p w:rsidR="00E81826" w:rsidRDefault="00E81826">
    <w:pPr>
      <w:ind w:right="-284"/>
      <w:rPr>
        <w:rFonts w:ascii="Arial" w:hAnsi="Arial"/>
        <w:sz w:val="16"/>
      </w:rPr>
    </w:pPr>
    <w:r>
      <w:rPr>
        <w:rFonts w:ascii="Arial" w:hAnsi="Arial"/>
        <w:noProof/>
      </w:rPr>
      <w:pict>
        <v:line id="_x0000_s2072" style="position:absolute;z-index:251659776" from="-36.05pt,5.35pt" to="467.95pt,5.35pt" strokeweight="1pt">
          <v:stroke startarrowwidth="narrow" startarrowlength="short" endarrowwidth="narrow" endarrowlength="short"/>
        </v:line>
      </w:pict>
    </w:r>
  </w:p>
  <w:p w:rsidR="00E81826" w:rsidRDefault="00E81826">
    <w:pPr>
      <w:ind w:right="-284"/>
      <w:rPr>
        <w:rFonts w:ascii="Arial" w:hAnsi="Arial"/>
        <w:sz w:val="16"/>
      </w:rPr>
    </w:pPr>
  </w:p>
  <w:tbl>
    <w:tblPr>
      <w:tblW w:w="5342" w:type="pct"/>
      <w:tblInd w:w="-698" w:type="dxa"/>
      <w:tblLayout w:type="fixed"/>
      <w:tblLook w:val="01E0" w:firstRow="1" w:lastRow="1" w:firstColumn="1" w:lastColumn="1" w:noHBand="0" w:noVBand="0"/>
    </w:tblPr>
    <w:tblGrid>
      <w:gridCol w:w="1276"/>
      <w:gridCol w:w="8647"/>
    </w:tblGrid>
    <w:tr w:rsidR="00E81826">
      <w:tc>
        <w:tcPr>
          <w:tcW w:w="643" w:type="pct"/>
        </w:tcPr>
        <w:p w:rsidR="00E81826" w:rsidRDefault="00E81826">
          <w:pPr>
            <w:pStyle w:val="Rientrocorpodeltesto2"/>
            <w:ind w:right="-108" w:firstLine="0"/>
            <w:jc w:val="left"/>
            <w:rPr>
              <w:rFonts w:cs="Arial"/>
              <w:sz w:val="22"/>
              <w:szCs w:val="18"/>
            </w:rPr>
          </w:pPr>
          <w:r>
            <w:rPr>
              <w:rFonts w:cs="Arial"/>
              <w:sz w:val="22"/>
              <w:szCs w:val="18"/>
            </w:rPr>
            <w:t>OGGETTO</w:t>
          </w:r>
        </w:p>
      </w:tc>
      <w:tc>
        <w:tcPr>
          <w:tcW w:w="4357" w:type="pct"/>
        </w:tcPr>
        <w:p w:rsidR="00E81826" w:rsidRDefault="00E81826">
          <w:pPr>
            <w:pStyle w:val="Rientrocorpodeltesto2"/>
            <w:ind w:firstLine="0"/>
            <w:rPr>
              <w:rFonts w:cs="Arial"/>
              <w:szCs w:val="18"/>
              <w:u w:val="single"/>
            </w:rPr>
          </w:pPr>
          <w:bookmarkStart w:id="2" w:name="Oggetto1"/>
          <w:r>
            <w:rPr>
              <w:rFonts w:cs="Arial"/>
              <w:szCs w:val="18"/>
              <w:u w:val="single"/>
            </w:rPr>
            <w:t>Risanamento conservativo dell'edificio camerale di via S. Nicolò n. 7 in Trieste. Approvazione 1^ perizia suppletiva e di variante.</w:t>
          </w:r>
          <w:bookmarkEnd w:id="2"/>
        </w:p>
      </w:tc>
    </w:tr>
  </w:tbl>
  <w:p w:rsidR="00E81826" w:rsidRDefault="00E81826">
    <w:pPr>
      <w:ind w:right="-284"/>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7" w:type="dxa"/>
      <w:tblInd w:w="-356" w:type="dxa"/>
      <w:tblLayout w:type="fixed"/>
      <w:tblCellMar>
        <w:left w:w="70" w:type="dxa"/>
        <w:right w:w="70" w:type="dxa"/>
      </w:tblCellMar>
      <w:tblLook w:val="0000" w:firstRow="0" w:lastRow="0" w:firstColumn="0" w:lastColumn="0" w:noHBand="0" w:noVBand="0"/>
    </w:tblPr>
    <w:tblGrid>
      <w:gridCol w:w="4679"/>
      <w:gridCol w:w="4678"/>
    </w:tblGrid>
    <w:tr w:rsidR="00E81826">
      <w:tblPrEx>
        <w:tblCellMar>
          <w:top w:w="0" w:type="dxa"/>
          <w:bottom w:w="0" w:type="dxa"/>
        </w:tblCellMar>
      </w:tblPrEx>
      <w:trPr>
        <w:cantSplit/>
        <w:trHeight w:val="105"/>
      </w:trPr>
      <w:tc>
        <w:tcPr>
          <w:tcW w:w="4679" w:type="dxa"/>
        </w:tcPr>
        <w:p w:rsidR="00E81826" w:rsidRDefault="00E81826">
          <w:pPr>
            <w:pStyle w:val="Intestazione"/>
            <w:tabs>
              <w:tab w:val="clear" w:pos="4819"/>
              <w:tab w:val="clear" w:pos="9638"/>
            </w:tabs>
            <w:spacing w:before="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8.5pt;mso-wrap-distance-left:0;mso-wrap-distance-right:0;mso-position-horizontal-relative:margin;mso-position-vertical-relative:margin" o:allowoverlap="f" filled="t">
                <v:fill color2="black"/>
                <v:imagedata r:id="rId1" o:title=""/>
              </v:shape>
            </w:pict>
          </w:r>
        </w:p>
      </w:tc>
      <w:tc>
        <w:tcPr>
          <w:tcW w:w="4678" w:type="dxa"/>
        </w:tcPr>
        <w:p w:rsidR="00E81826" w:rsidRDefault="00E81826">
          <w:pPr>
            <w:jc w:val="right"/>
          </w:pPr>
          <w:r>
            <w:rPr>
              <w:rFonts w:ascii="Arial" w:hAnsi="Arial" w:cs="Arial"/>
              <w:sz w:val="18"/>
            </w:rPr>
            <w:t xml:space="preserve">Pag. n. </w:t>
          </w:r>
          <w:r>
            <w:rPr>
              <w:rStyle w:val="Numeropagina"/>
              <w:rFonts w:ascii="Arial" w:hAnsi="Arial" w:cs="Arial"/>
              <w:sz w:val="18"/>
            </w:rPr>
            <w:fldChar w:fldCharType="begin"/>
          </w:r>
          <w:r>
            <w:rPr>
              <w:rStyle w:val="Numeropagina"/>
              <w:rFonts w:ascii="Arial" w:hAnsi="Arial" w:cs="Arial"/>
              <w:sz w:val="18"/>
            </w:rPr>
            <w:instrText xml:space="preserve"> PAGE </w:instrText>
          </w:r>
          <w:r>
            <w:rPr>
              <w:rStyle w:val="Numeropagina"/>
              <w:rFonts w:ascii="Arial" w:hAnsi="Arial" w:cs="Arial"/>
              <w:sz w:val="18"/>
            </w:rPr>
            <w:fldChar w:fldCharType="separate"/>
          </w:r>
          <w:r w:rsidR="00E55084">
            <w:rPr>
              <w:rStyle w:val="Numeropagina"/>
              <w:rFonts w:ascii="Arial" w:hAnsi="Arial" w:cs="Arial"/>
              <w:noProof/>
              <w:sz w:val="18"/>
            </w:rPr>
            <w:t>2</w:t>
          </w:r>
          <w:r>
            <w:rPr>
              <w:rStyle w:val="Numeropagina"/>
              <w:rFonts w:ascii="Arial" w:hAnsi="Arial" w:cs="Arial"/>
              <w:sz w:val="18"/>
            </w:rPr>
            <w:fldChar w:fldCharType="end"/>
          </w:r>
        </w:p>
      </w:tc>
    </w:tr>
    <w:tr w:rsidR="00E81826">
      <w:tblPrEx>
        <w:tblCellMar>
          <w:top w:w="0" w:type="dxa"/>
          <w:bottom w:w="0" w:type="dxa"/>
        </w:tblCellMar>
      </w:tblPrEx>
      <w:trPr>
        <w:trHeight w:val="105"/>
      </w:trPr>
      <w:tc>
        <w:tcPr>
          <w:tcW w:w="9357" w:type="dxa"/>
          <w:gridSpan w:val="2"/>
        </w:tcPr>
        <w:p w:rsidR="00E81826" w:rsidRDefault="00E81826">
          <w:pPr>
            <w:rPr>
              <w:rFonts w:ascii="Arial" w:hAnsi="Arial" w:cs="Arial"/>
              <w:sz w:val="24"/>
            </w:rPr>
          </w:pPr>
        </w:p>
        <w:p w:rsidR="00E81826" w:rsidRDefault="00E81826">
          <w:pPr>
            <w:pStyle w:val="Intestazione"/>
            <w:tabs>
              <w:tab w:val="clear" w:pos="4819"/>
              <w:tab w:val="clear" w:pos="9638"/>
              <w:tab w:val="left" w:pos="5317"/>
              <w:tab w:val="right" w:pos="10136"/>
            </w:tabs>
            <w:rPr>
              <w:rFonts w:ascii="Arial" w:hAnsi="Arial" w:cs="Arial"/>
              <w:sz w:val="22"/>
              <w:szCs w:val="22"/>
            </w:rPr>
          </w:pPr>
          <w:bookmarkStart w:id="5" w:name="Segue"/>
          <w:r>
            <w:rPr>
              <w:rFonts w:ascii="Arial" w:hAnsi="Arial" w:cs="Arial"/>
              <w:sz w:val="22"/>
              <w:szCs w:val="22"/>
            </w:rPr>
            <w:t>Segue Determinazione del Segretario Generale n. 664 del28 novembre 2019</w:t>
          </w:r>
          <w:bookmarkEnd w:id="5"/>
        </w:p>
      </w:tc>
    </w:tr>
  </w:tbl>
  <w:p w:rsidR="00E81826" w:rsidRDefault="00E81826">
    <w:pPr>
      <w:pStyle w:val="Intestazione"/>
      <w:rPr>
        <w:rFonts w:ascii="Arial" w:hAnsi="Arial" w:cs="Arial"/>
        <w:sz w:val="24"/>
      </w:rPr>
    </w:pPr>
    <w:r>
      <w:rPr>
        <w:rFonts w:ascii="Arial" w:hAnsi="Arial" w:cs="Arial"/>
        <w:noProof/>
      </w:rPr>
      <w:pict>
        <v:line id="_x0000_s2071" style="position:absolute;z-index:251658752;mso-position-horizontal-relative:text;mso-position-vertical-relative:text" from="-36.05pt,9.7pt" to="467.95pt,9.7pt" strokeweight="1pt">
          <v:stroke startarrowwidth="narrow" startarrowlength="short" endarrowwidth="narrow" endarrowlength="short"/>
        </v:lin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84" w:type="dxa"/>
      <w:tblLayout w:type="fixed"/>
      <w:tblCellMar>
        <w:left w:w="70" w:type="dxa"/>
        <w:right w:w="70" w:type="dxa"/>
      </w:tblCellMar>
      <w:tblLook w:val="0000" w:firstRow="0" w:lastRow="0" w:firstColumn="0" w:lastColumn="0" w:noHBand="0" w:noVBand="0"/>
    </w:tblPr>
    <w:tblGrid>
      <w:gridCol w:w="1157"/>
      <w:gridCol w:w="5930"/>
    </w:tblGrid>
    <w:tr w:rsidR="00E81826">
      <w:tblPrEx>
        <w:tblCellMar>
          <w:top w:w="0" w:type="dxa"/>
          <w:bottom w:w="0" w:type="dxa"/>
        </w:tblCellMar>
      </w:tblPrEx>
      <w:tc>
        <w:tcPr>
          <w:tcW w:w="1157" w:type="dxa"/>
        </w:tcPr>
        <w:p w:rsidR="00E81826" w:rsidRDefault="00E81826">
          <w:pPr>
            <w:pStyle w:val="Intestazione"/>
          </w:pPr>
          <w:r>
            <w:rPr>
              <w:noProof/>
            </w:rPr>
            <w:pict>
              <v:line id="_x0000_s2053" style="position:absolute;z-index:251657728" from="142.2pt,35.55pt" to="199.05pt,35.6pt" o:allowincell="f" strokeweight="1pt">
                <v:stroke startarrowwidth="narrow" startarrowlength="short" endarrowwidth="narrow" endarrowlength="short"/>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5pt;height:51pt" fillcolor="window">
                <v:imagedata r:id="rId1" o:title=""/>
              </v:shape>
            </w:pict>
          </w:r>
        </w:p>
      </w:tc>
      <w:tc>
        <w:tcPr>
          <w:tcW w:w="5930" w:type="dxa"/>
        </w:tcPr>
        <w:p w:rsidR="00E81826" w:rsidRDefault="00E81826">
          <w:pPr>
            <w:pStyle w:val="Intestazione"/>
            <w:rPr>
              <w:sz w:val="18"/>
            </w:rPr>
          </w:pPr>
        </w:p>
        <w:p w:rsidR="00E81826" w:rsidRDefault="00E81826">
          <w:pPr>
            <w:pStyle w:val="Intestazione"/>
            <w:rPr>
              <w:rFonts w:ascii="Arial" w:hAnsi="Arial"/>
              <w:sz w:val="18"/>
            </w:rPr>
          </w:pPr>
          <w:r>
            <w:rPr>
              <w:rFonts w:ascii="Arial" w:hAnsi="Arial"/>
              <w:sz w:val="18"/>
            </w:rPr>
            <w:t xml:space="preserve"> CAMERA    DI    COMMERCIO    INDUSTRIA</w:t>
          </w:r>
        </w:p>
        <w:p w:rsidR="00E81826" w:rsidRDefault="00E81826">
          <w:pPr>
            <w:pStyle w:val="Intestazione"/>
            <w:rPr>
              <w:rFonts w:ascii="Arial" w:hAnsi="Arial"/>
              <w:sz w:val="18"/>
            </w:rPr>
          </w:pPr>
          <w:r>
            <w:rPr>
              <w:rFonts w:ascii="Arial" w:hAnsi="Arial"/>
              <w:sz w:val="18"/>
            </w:rPr>
            <w:t>ARTIGIANATO E  AGRICOLTURA  - TRIESTE</w:t>
          </w:r>
        </w:p>
        <w:p w:rsidR="00E81826" w:rsidRDefault="00E81826">
          <w:pPr>
            <w:pStyle w:val="Intestazione"/>
            <w:rPr>
              <w:rFonts w:ascii="Arial" w:hAnsi="Arial"/>
              <w:sz w:val="18"/>
            </w:rPr>
          </w:pPr>
        </w:p>
        <w:p w:rsidR="00E81826" w:rsidRDefault="00E81826">
          <w:pPr>
            <w:pStyle w:val="Intestazione"/>
            <w:rPr>
              <w:rFonts w:ascii="Arial" w:hAnsi="Arial"/>
              <w:sz w:val="18"/>
            </w:rPr>
          </w:pPr>
          <w:r>
            <w:rPr>
              <w:rFonts w:ascii="Arial" w:hAnsi="Arial"/>
              <w:sz w:val="18"/>
            </w:rPr>
            <w:t xml:space="preserve">             </w:t>
          </w:r>
        </w:p>
        <w:p w:rsidR="00E81826" w:rsidRDefault="00E81826">
          <w:pPr>
            <w:pStyle w:val="Intestazione"/>
            <w:rPr>
              <w:rFonts w:ascii="Arial" w:hAnsi="Arial"/>
              <w:sz w:val="18"/>
            </w:rPr>
          </w:pPr>
          <w:r>
            <w:rPr>
              <w:rFonts w:ascii="Arial" w:hAnsi="Arial"/>
              <w:sz w:val="18"/>
            </w:rPr>
            <w:t xml:space="preserve">               SEGRETERIA  GENERALE                            </w:t>
          </w:r>
        </w:p>
        <w:p w:rsidR="00E81826" w:rsidRDefault="00E81826">
          <w:pPr>
            <w:pStyle w:val="Intestazione"/>
            <w:rPr>
              <w:sz w:val="18"/>
            </w:rPr>
          </w:pPr>
        </w:p>
      </w:tc>
    </w:tr>
  </w:tbl>
  <w:p w:rsidR="00E81826" w:rsidRDefault="00E81826">
    <w:pPr>
      <w:pStyle w:val="Intestazion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0E6"/>
    <w:multiLevelType w:val="hybridMultilevel"/>
    <w:tmpl w:val="01266AE4"/>
    <w:lvl w:ilvl="0" w:tplc="AC327F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F87CBE"/>
    <w:multiLevelType w:val="hybridMultilevel"/>
    <w:tmpl w:val="8B8C1308"/>
    <w:lvl w:ilvl="0" w:tplc="AC327F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2749CC"/>
    <w:multiLevelType w:val="hybridMultilevel"/>
    <w:tmpl w:val="C06EF564"/>
    <w:lvl w:ilvl="0" w:tplc="AC327F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612842"/>
    <w:multiLevelType w:val="hybridMultilevel"/>
    <w:tmpl w:val="6FDE2F26"/>
    <w:lvl w:ilvl="0" w:tplc="0410000F">
      <w:start w:val="1"/>
      <w:numFmt w:val="decimal"/>
      <w:lvlText w:val="%1."/>
      <w:lvlJc w:val="left"/>
      <w:pPr>
        <w:tabs>
          <w:tab w:val="num" w:pos="1117"/>
        </w:tabs>
        <w:ind w:left="1117" w:hanging="360"/>
      </w:pPr>
    </w:lvl>
    <w:lvl w:ilvl="1" w:tplc="04100019" w:tentative="1">
      <w:start w:val="1"/>
      <w:numFmt w:val="lowerLetter"/>
      <w:lvlText w:val="%2."/>
      <w:lvlJc w:val="left"/>
      <w:pPr>
        <w:tabs>
          <w:tab w:val="num" w:pos="1837"/>
        </w:tabs>
        <w:ind w:left="1837" w:hanging="360"/>
      </w:pPr>
    </w:lvl>
    <w:lvl w:ilvl="2" w:tplc="0410001B" w:tentative="1">
      <w:start w:val="1"/>
      <w:numFmt w:val="lowerRoman"/>
      <w:lvlText w:val="%3."/>
      <w:lvlJc w:val="right"/>
      <w:pPr>
        <w:tabs>
          <w:tab w:val="num" w:pos="2557"/>
        </w:tabs>
        <w:ind w:left="2557" w:hanging="180"/>
      </w:pPr>
    </w:lvl>
    <w:lvl w:ilvl="3" w:tplc="0410000F" w:tentative="1">
      <w:start w:val="1"/>
      <w:numFmt w:val="decimal"/>
      <w:lvlText w:val="%4."/>
      <w:lvlJc w:val="left"/>
      <w:pPr>
        <w:tabs>
          <w:tab w:val="num" w:pos="3277"/>
        </w:tabs>
        <w:ind w:left="3277" w:hanging="360"/>
      </w:pPr>
    </w:lvl>
    <w:lvl w:ilvl="4" w:tplc="04100019" w:tentative="1">
      <w:start w:val="1"/>
      <w:numFmt w:val="lowerLetter"/>
      <w:lvlText w:val="%5."/>
      <w:lvlJc w:val="left"/>
      <w:pPr>
        <w:tabs>
          <w:tab w:val="num" w:pos="3997"/>
        </w:tabs>
        <w:ind w:left="3997" w:hanging="360"/>
      </w:pPr>
    </w:lvl>
    <w:lvl w:ilvl="5" w:tplc="0410001B" w:tentative="1">
      <w:start w:val="1"/>
      <w:numFmt w:val="lowerRoman"/>
      <w:lvlText w:val="%6."/>
      <w:lvlJc w:val="right"/>
      <w:pPr>
        <w:tabs>
          <w:tab w:val="num" w:pos="4717"/>
        </w:tabs>
        <w:ind w:left="4717" w:hanging="180"/>
      </w:pPr>
    </w:lvl>
    <w:lvl w:ilvl="6" w:tplc="0410000F" w:tentative="1">
      <w:start w:val="1"/>
      <w:numFmt w:val="decimal"/>
      <w:lvlText w:val="%7."/>
      <w:lvlJc w:val="left"/>
      <w:pPr>
        <w:tabs>
          <w:tab w:val="num" w:pos="5437"/>
        </w:tabs>
        <w:ind w:left="5437" w:hanging="360"/>
      </w:pPr>
    </w:lvl>
    <w:lvl w:ilvl="7" w:tplc="04100019" w:tentative="1">
      <w:start w:val="1"/>
      <w:numFmt w:val="lowerLetter"/>
      <w:lvlText w:val="%8."/>
      <w:lvlJc w:val="left"/>
      <w:pPr>
        <w:tabs>
          <w:tab w:val="num" w:pos="6157"/>
        </w:tabs>
        <w:ind w:left="6157" w:hanging="360"/>
      </w:pPr>
    </w:lvl>
    <w:lvl w:ilvl="8" w:tplc="0410001B" w:tentative="1">
      <w:start w:val="1"/>
      <w:numFmt w:val="lowerRoman"/>
      <w:lvlText w:val="%9."/>
      <w:lvlJc w:val="right"/>
      <w:pPr>
        <w:tabs>
          <w:tab w:val="num" w:pos="6877"/>
        </w:tabs>
        <w:ind w:left="6877" w:hanging="180"/>
      </w:pPr>
    </w:lvl>
  </w:abstractNum>
  <w:abstractNum w:abstractNumId="4" w15:restartNumberingAfterBreak="0">
    <w:nsid w:val="446F1862"/>
    <w:multiLevelType w:val="hybridMultilevel"/>
    <w:tmpl w:val="5EF09136"/>
    <w:lvl w:ilvl="0" w:tplc="AC327F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1C70A7"/>
    <w:multiLevelType w:val="hybridMultilevel"/>
    <w:tmpl w:val="0EC0435A"/>
    <w:lvl w:ilvl="0" w:tplc="04100011">
      <w:start w:val="1"/>
      <w:numFmt w:val="decimal"/>
      <w:lvlText w:val="%1)"/>
      <w:lvlJc w:val="left"/>
      <w:pPr>
        <w:ind w:left="1211" w:hanging="360"/>
      </w:pPr>
      <w:rPr>
        <w:rFonts w:hint="default"/>
      </w:rPr>
    </w:lvl>
    <w:lvl w:ilvl="1" w:tplc="2392F4A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687624"/>
    <w:multiLevelType w:val="hybridMultilevel"/>
    <w:tmpl w:val="29C25918"/>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7" w15:restartNumberingAfterBreak="0">
    <w:nsid w:val="6F5B36A2"/>
    <w:multiLevelType w:val="hybridMultilevel"/>
    <w:tmpl w:val="623889DE"/>
    <w:lvl w:ilvl="0" w:tplc="AC327FB6">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311275"/>
    <w:multiLevelType w:val="hybridMultilevel"/>
    <w:tmpl w:val="69CE9EEE"/>
    <w:lvl w:ilvl="0" w:tplc="AC327F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1E7EE5"/>
    <w:multiLevelType w:val="hybridMultilevel"/>
    <w:tmpl w:val="A290F8D2"/>
    <w:lvl w:ilvl="0" w:tplc="AC327FB6">
      <w:start w:val="1"/>
      <w:numFmt w:val="bullet"/>
      <w:lvlText w:val=""/>
      <w:lvlJc w:val="left"/>
      <w:pPr>
        <w:ind w:left="720" w:hanging="360"/>
      </w:pPr>
      <w:rPr>
        <w:rFonts w:ascii="Symbol" w:hAnsi="Symbol" w:hint="default"/>
      </w:rPr>
    </w:lvl>
    <w:lvl w:ilvl="1" w:tplc="1D661B80">
      <w:numFmt w:val="bullet"/>
      <w:lvlText w:val="-"/>
      <w:lvlJc w:val="left"/>
      <w:pPr>
        <w:ind w:left="144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3361CB"/>
    <w:multiLevelType w:val="hybridMultilevel"/>
    <w:tmpl w:val="0B40D65A"/>
    <w:lvl w:ilvl="0" w:tplc="AC327F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2E61D2"/>
    <w:multiLevelType w:val="hybridMultilevel"/>
    <w:tmpl w:val="73E0D0F6"/>
    <w:lvl w:ilvl="0" w:tplc="AB40610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0"/>
  </w:num>
  <w:num w:numId="5">
    <w:abstractNumId w:val="2"/>
  </w:num>
  <w:num w:numId="6">
    <w:abstractNumId w:val="7"/>
  </w:num>
  <w:num w:numId="7">
    <w:abstractNumId w:val="8"/>
  </w:num>
  <w:num w:numId="8">
    <w:abstractNumId w:val="9"/>
  </w:num>
  <w:num w:numId="9">
    <w:abstractNumId w:val="4"/>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1" w:cryptProviderType="rsaAES" w:cryptAlgorithmClass="hash" w:cryptAlgorithmType="typeAny" w:cryptAlgorithmSid="14" w:cryptSpinCount="100000" w:hash="nSrKRxPsp/XjxSgwIsELSxEXckLRJwac6MrYHQf1iOQ9SWKl76l4dinEwXGW+rOzaA5pul+hg+i/jd1F001jsA==" w:salt="In0SL+H6sHr9XGw0pUMgt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5C3"/>
    <w:rsid w:val="00E55084"/>
    <w:rsid w:val="00E81826"/>
    <w:rsid w:val="00F845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B2A3B16-5E04-4234-A5BC-3C999D9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Arial" w:hAnsi="Arial" w:cs="Arial"/>
      <w:b/>
      <w:bCs/>
      <w:szCs w:val="24"/>
    </w:rPr>
  </w:style>
  <w:style w:type="paragraph" w:styleId="Titolo2">
    <w:name w:val="heading 2"/>
    <w:basedOn w:val="Normale"/>
    <w:next w:val="Normale"/>
    <w:qFormat/>
    <w:pPr>
      <w:keepNext/>
      <w:framePr w:hSpace="141" w:wrap="around" w:vAnchor="text" w:hAnchor="margin" w:xAlign="center" w:y="195"/>
      <w:outlineLvl w:val="1"/>
    </w:pPr>
    <w:rPr>
      <w:rFonts w:ascii="Arial" w:hAnsi="Arial" w:cs="Arial"/>
      <w:bCs/>
      <w:i/>
      <w:iCs/>
      <w:szCs w:val="24"/>
    </w:rPr>
  </w:style>
  <w:style w:type="paragraph" w:styleId="Titolo6">
    <w:name w:val="heading 6"/>
    <w:basedOn w:val="Normale"/>
    <w:next w:val="Normale"/>
    <w:qFormat/>
    <w:pPr>
      <w:keepNext/>
      <w:spacing w:before="480"/>
      <w:jc w:val="both"/>
      <w:outlineLvl w:val="5"/>
    </w:pPr>
    <w:rPr>
      <w:rFonts w:ascii="Arial" w:hAnsi="Arial"/>
      <w:snapToGrid w:val="0"/>
      <w:sz w:val="24"/>
      <w:u w:val="single"/>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
    <w:name w:val="Body Text Indent"/>
    <w:basedOn w:val="Normale"/>
    <w:semiHidden/>
    <w:pPr>
      <w:ind w:left="284"/>
      <w:jc w:val="both"/>
    </w:pPr>
    <w:rPr>
      <w:rFonts w:ascii="Arial" w:hAnsi="Arial"/>
      <w:sz w:val="24"/>
      <w:u w:val="single"/>
    </w:rPr>
  </w:style>
  <w:style w:type="paragraph" w:styleId="Rientrocorpodeltesto2">
    <w:name w:val="Body Text Indent 2"/>
    <w:basedOn w:val="Normale"/>
    <w:semiHidden/>
    <w:pPr>
      <w:spacing w:before="240"/>
      <w:ind w:firstLine="851"/>
      <w:jc w:val="both"/>
    </w:pPr>
    <w:rPr>
      <w:rFonts w:ascii="Arial" w:hAnsi="Arial"/>
      <w:snapToGrid w:val="0"/>
      <w:sz w:val="24"/>
    </w:rPr>
  </w:style>
  <w:style w:type="paragraph" w:customStyle="1" w:styleId="Stile1">
    <w:name w:val="Stile1"/>
    <w:basedOn w:val="Normale"/>
    <w:rPr>
      <w:rFonts w:ascii="Antique Olive" w:hAnsi="Antique Olive"/>
      <w:sz w:val="22"/>
    </w:rPr>
  </w:style>
  <w:style w:type="paragraph" w:customStyle="1" w:styleId="Testo">
    <w:name w:val="Testo"/>
    <w:basedOn w:val="Intestazione"/>
    <w:pPr>
      <w:ind w:left="397"/>
    </w:pPr>
    <w:rPr>
      <w:rFonts w:ascii="Arial" w:hAnsi="Arial" w:cs="Arial"/>
      <w:sz w:val="22"/>
    </w:rPr>
  </w:style>
  <w:style w:type="character" w:customStyle="1" w:styleId="Rientrocorpodeltesto2Carattere">
    <w:name w:val="Rientro corpo del testo 2 Carattere"/>
    <w:semiHidden/>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Determinazione_664SG_2019.dot</Template>
  <TotalTime>0</TotalTime>
  <Pages>9</Pages>
  <Words>3615</Words>
  <Characters>20611</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PROT. –––––</vt:lpstr>
    </vt:vector>
  </TitlesOfParts>
  <Company>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 –––––</dc:title>
  <dc:subject/>
  <dc:creator>colja</dc:creator>
  <cp:keywords/>
  <dc:description/>
  <cp:lastModifiedBy>Davide Birsa</cp:lastModifiedBy>
  <cp:revision>2</cp:revision>
  <cp:lastPrinted>2019-11-22T08:40:00Z</cp:lastPrinted>
  <dcterms:created xsi:type="dcterms:W3CDTF">2019-12-30T13:37:00Z</dcterms:created>
  <dcterms:modified xsi:type="dcterms:W3CDTF">2019-12-30T13:37:00Z</dcterms:modified>
</cp:coreProperties>
</file>